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351778A1"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9B6464">
        <w:rPr>
          <w:b/>
          <w:bCs/>
          <w:color w:val="000000" w:themeColor="text1"/>
        </w:rPr>
        <w:t>24620</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76FE4B39" w14:textId="77777777" w:rsidR="009B6464" w:rsidRDefault="009B6464" w:rsidP="009B6464">
      <w:pPr>
        <w:rPr>
          <w:rFonts w:ascii="Calibri" w:hAnsi="Calibri"/>
        </w:rPr>
      </w:pPr>
      <w:r>
        <w:t>1. How many complaints of abuse from children being looked after by the local authority have you investigated each year since 2010 either by calendar or financial year (whichever option is easier)? </w:t>
      </w:r>
    </w:p>
    <w:p w14:paraId="1498AFFD" w14:textId="77777777" w:rsidR="009B6464" w:rsidRDefault="009B6464" w:rsidP="009B6464"/>
    <w:p w14:paraId="40A42E23" w14:textId="77777777" w:rsidR="009B6464" w:rsidRDefault="009B6464" w:rsidP="009B6464">
      <w:r>
        <w:t>2. What are the risks of a single adult male or female sleeping at the side of the road or at a service station with a young child in a car seat also in the car? Is this illegal?</w:t>
      </w:r>
    </w:p>
    <w:p w14:paraId="758ADB83" w14:textId="77777777" w:rsidR="009B6464" w:rsidRDefault="009B6464" w:rsidP="009B6464"/>
    <w:p w14:paraId="6B1438E2" w14:textId="77777777" w:rsidR="009B6464" w:rsidRDefault="009B6464" w:rsidP="009B6464">
      <w:r>
        <w:t>3. How often have requests been made under Clare's and Sarah's law each year since 2010 by either calendar or financial year (whichever option is easier) Can these statistics be broken down into requests by males and females or do the statistics only cover all requests?</w:t>
      </w:r>
    </w:p>
    <w:p w14:paraId="01D71F88" w14:textId="77777777" w:rsidR="009B6464" w:rsidRDefault="009B6464" w:rsidP="009B6464"/>
    <w:p w14:paraId="34E14766" w14:textId="77777777" w:rsidR="009B6464" w:rsidRDefault="009B6464" w:rsidP="009B6464">
      <w:r>
        <w:t>4. What is the criteria used for a person to be identified as a risk under Clare's and Sarah's law? </w:t>
      </w:r>
    </w:p>
    <w:p w14:paraId="417CE73A" w14:textId="77777777" w:rsidR="009B6464" w:rsidRDefault="009B6464" w:rsidP="009B6464"/>
    <w:p w14:paraId="6FBF7E60" w14:textId="77777777" w:rsidR="009B6464" w:rsidRDefault="009B6464" w:rsidP="009B6464">
      <w:r>
        <w:t>5. Are all incidents of domestic violence and sexual assault logged on the system even if no arrest or prosecution takes place. Would these results show up under Clare's and Sarah's law?</w:t>
      </w:r>
    </w:p>
    <w:p w14:paraId="20600EB4" w14:textId="77777777" w:rsidR="009B6464" w:rsidRDefault="009B6464" w:rsidP="009B6464"/>
    <w:p w14:paraId="2020E38A" w14:textId="77777777" w:rsidR="009B6464" w:rsidRDefault="009B6464" w:rsidP="009B6464">
      <w:r>
        <w:t>6. How many false claims of sexual abuse have been reported each year since 2010 by either calander or financial year (whichever is easier) and can these statistics be broken down by male and female reports?</w:t>
      </w:r>
    </w:p>
    <w:p w14:paraId="28C5D7F0" w14:textId="77777777" w:rsidR="009B6464" w:rsidRDefault="009B6464" w:rsidP="009B6464"/>
    <w:p w14:paraId="48F9CB82" w14:textId="77777777" w:rsidR="009B6464" w:rsidRDefault="009B6464" w:rsidP="009B6464">
      <w:r>
        <w:t>7. How many domestic / sexual abuse claims are dropped by the complainant each year since 2010 by either calander or financial year (whichever is easier) before an investigation has been compleated? </w:t>
      </w:r>
    </w:p>
    <w:p w14:paraId="32011258" w14:textId="77777777" w:rsidR="009B6464" w:rsidRDefault="009B6464" w:rsidP="009B6464"/>
    <w:p w14:paraId="6E2984D2" w14:textId="77777777" w:rsidR="009B6464" w:rsidRDefault="009B6464" w:rsidP="009B6464">
      <w:r>
        <w:lastRenderedPageBreak/>
        <w:t>8. Would the police like to see changes made within the domestic / sexual abuse systems to help them do their jobs better and lower the number of incidents?</w:t>
      </w:r>
    </w:p>
    <w:p w14:paraId="49D957BC" w14:textId="77777777" w:rsidR="009B6464" w:rsidRDefault="009B6464" w:rsidP="009B6464"/>
    <w:p w14:paraId="3207B36B" w14:textId="77777777" w:rsidR="009B6464" w:rsidRDefault="009B6464" w:rsidP="009B6464">
      <w:r>
        <w:t>9. How often do the police respond to incidents of missing children per year since 2010 by either calendar or financial year (whichever is easier) do the police keep separate statistics for children missing from local authority care or how long each missing incident covers (few hours, days, weeks, never found)?</w:t>
      </w:r>
    </w:p>
    <w:p w14:paraId="6C7AEDD4" w14:textId="77777777" w:rsidR="009B6464" w:rsidRDefault="009B6464" w:rsidP="009B6464"/>
    <w:p w14:paraId="4302D5AD" w14:textId="77777777" w:rsidR="009B6464" w:rsidRDefault="009B6464" w:rsidP="009B6464">
      <w:r>
        <w:t>10. What do the police think about the proposed 888 app to track females when they go out. Do you think it will work?  What are the benefits and downfalls to this proposed system from a police perspective?</w:t>
      </w:r>
    </w:p>
    <w:p w14:paraId="5ECC2AD5" w14:textId="77777777" w:rsidR="009B6464" w:rsidRDefault="009B6464" w:rsidP="009B6464"/>
    <w:p w14:paraId="5994172D" w14:textId="77777777" w:rsidR="009B6464" w:rsidRDefault="009B6464" w:rsidP="009B6464">
      <w:r>
        <w:t>11. Do child social services raise concerns with the police in regards to domestic violence (adult vs adult)? If so, are these reports logged on the system to formulate any statistics? If not, would it be beneficial for these incidents to be logged?</w:t>
      </w:r>
    </w:p>
    <w:p w14:paraId="214A0579" w14:textId="77777777" w:rsidR="009B6464" w:rsidRDefault="009B6464" w:rsidP="009B6464"/>
    <w:p w14:paraId="2FC0AA8E" w14:textId="77777777" w:rsidR="009B6464" w:rsidRDefault="009B6464" w:rsidP="009B6464">
      <w:r>
        <w:t>12. Have the police made any connection between domestic abuse victims and Stockholm syndrome? </w:t>
      </w: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63FC2683" w14:textId="4C464D3F" w:rsidR="008D19BE" w:rsidRDefault="008D19BE" w:rsidP="00437C62">
      <w:pPr>
        <w:rPr>
          <w:color w:val="000000" w:themeColor="text1"/>
        </w:rPr>
      </w:pPr>
    </w:p>
    <w:p w14:paraId="400E3869" w14:textId="445ADA46" w:rsidR="00063362" w:rsidRDefault="00063362" w:rsidP="00437C62">
      <w:pPr>
        <w:rPr>
          <w:color w:val="000000" w:themeColor="text1"/>
        </w:rPr>
      </w:pPr>
      <w:r>
        <w:rPr>
          <w:color w:val="000000" w:themeColor="text1"/>
        </w:rPr>
        <w:t>Questions 1,2, 6 – 12:</w:t>
      </w:r>
    </w:p>
    <w:p w14:paraId="484FDE77" w14:textId="3B1662DB" w:rsidR="00063362" w:rsidRDefault="00063362" w:rsidP="00437C62">
      <w:pPr>
        <w:rPr>
          <w:color w:val="000000" w:themeColor="text1"/>
        </w:rPr>
      </w:pPr>
    </w:p>
    <w:p w14:paraId="4C35BDE3" w14:textId="70824375" w:rsidR="00063362" w:rsidRPr="00171E95" w:rsidRDefault="00063362" w:rsidP="00063362">
      <w:pPr>
        <w:jc w:val="both"/>
        <w:rPr>
          <w:rFonts w:cs="Arial"/>
        </w:rPr>
      </w:pPr>
      <w:r w:rsidRPr="00171E95">
        <w:rPr>
          <w:rFonts w:eastAsia="Times New Roman" w:cs="Arial"/>
          <w:color w:val="000000"/>
        </w:rPr>
        <w:t xml:space="preserve">Unfortunately, we cannot answer this request as it will exceed the 18-hour time limit to complete a request. </w:t>
      </w:r>
      <w:r>
        <w:rPr>
          <w:rFonts w:eastAsia="Times New Roman" w:cs="Arial"/>
          <w:color w:val="000000"/>
        </w:rPr>
        <w:t>For the timeframe requested</w:t>
      </w:r>
      <w:r w:rsidRPr="00171E95">
        <w:rPr>
          <w:rFonts w:eastAsia="Times New Roman" w:cs="Arial"/>
          <w:color w:val="000000"/>
        </w:rPr>
        <w:t>, there have been</w:t>
      </w:r>
      <w:r>
        <w:rPr>
          <w:rFonts w:eastAsia="Times New Roman" w:cs="Arial"/>
          <w:color w:val="000000"/>
        </w:rPr>
        <w:t xml:space="preserve"> 1,905 crimes </w:t>
      </w:r>
      <w:r>
        <w:t>recorded for child abuse</w:t>
      </w:r>
      <w:r w:rsidRPr="00171E95">
        <w:rPr>
          <w:rFonts w:cs="Arial"/>
        </w:rPr>
        <w:t xml:space="preserve">. In order to retrieve the data, each record would need to be </w:t>
      </w:r>
      <w:r>
        <w:rPr>
          <w:rFonts w:cs="Arial"/>
        </w:rPr>
        <w:t xml:space="preserve">manually trawled and </w:t>
      </w:r>
      <w:r w:rsidRPr="00171E95">
        <w:rPr>
          <w:rFonts w:cs="Arial"/>
        </w:rPr>
        <w:t xml:space="preserve">reviewed. It would take approximately </w:t>
      </w:r>
      <w:r>
        <w:rPr>
          <w:rFonts w:cs="Arial"/>
        </w:rPr>
        <w:t xml:space="preserve">five minutes </w:t>
      </w:r>
      <w:r w:rsidRPr="00171E95">
        <w:rPr>
          <w:rFonts w:cs="Arial"/>
        </w:rPr>
        <w:t xml:space="preserve">to review each individual record, which would equate to </w:t>
      </w:r>
      <w:r>
        <w:rPr>
          <w:rFonts w:cs="Arial"/>
        </w:rPr>
        <w:t xml:space="preserve">158 hours </w:t>
      </w:r>
      <w:r w:rsidRPr="00171E95">
        <w:rPr>
          <w:rFonts w:cs="Arial"/>
        </w:rPr>
        <w:t xml:space="preserve">of research. Therefore, a Section 12 Excess Cost exemption has been applied. </w:t>
      </w:r>
    </w:p>
    <w:p w14:paraId="44C29A43" w14:textId="77777777" w:rsidR="00063362" w:rsidRDefault="00063362" w:rsidP="00063362">
      <w:pPr>
        <w:jc w:val="both"/>
        <w:rPr>
          <w:rFonts w:cs="Arial"/>
          <w:b/>
          <w:u w:val="single"/>
        </w:rPr>
      </w:pPr>
    </w:p>
    <w:p w14:paraId="78A4CC49" w14:textId="5062D6A4" w:rsidR="00063362" w:rsidRDefault="00063362" w:rsidP="00063362">
      <w:pPr>
        <w:jc w:val="both"/>
        <w:rPr>
          <w:rFonts w:cs="Arial"/>
          <w:b/>
          <w:u w:val="single"/>
        </w:rPr>
      </w:pPr>
      <w:r w:rsidRPr="00DA554D">
        <w:rPr>
          <w:rFonts w:cs="Arial"/>
          <w:b/>
          <w:u w:val="single"/>
        </w:rPr>
        <w:t>Section 12 – Exc</w:t>
      </w:r>
      <w:r>
        <w:rPr>
          <w:rFonts w:cs="Arial"/>
          <w:b/>
          <w:u w:val="single"/>
        </w:rPr>
        <w:t>ess</w:t>
      </w:r>
      <w:r w:rsidRPr="00DA554D">
        <w:rPr>
          <w:rFonts w:cs="Arial"/>
          <w:b/>
          <w:u w:val="single"/>
        </w:rPr>
        <w:t xml:space="preserve"> Cost</w:t>
      </w:r>
    </w:p>
    <w:p w14:paraId="7AD12439" w14:textId="77777777" w:rsidR="00063362" w:rsidRPr="00DA554D" w:rsidRDefault="00063362" w:rsidP="00063362">
      <w:pPr>
        <w:jc w:val="both"/>
        <w:rPr>
          <w:rFonts w:cs="Arial"/>
          <w:b/>
          <w:u w:val="single"/>
        </w:rPr>
      </w:pPr>
    </w:p>
    <w:p w14:paraId="653E0574" w14:textId="446785F5" w:rsidR="00063362" w:rsidRDefault="00063362" w:rsidP="00063362">
      <w:pPr>
        <w:jc w:val="both"/>
        <w:rPr>
          <w:rFonts w:cs="Arial"/>
        </w:rPr>
      </w:pPr>
      <w:r w:rsidRPr="00DA554D">
        <w:rPr>
          <w:rFonts w:cs="Arial"/>
        </w:rPr>
        <w:t>The exemption applicable to the information you have requested for this question can be found at Section 12(1) of the Act and this refusal notice is issued under Section 17.</w:t>
      </w:r>
    </w:p>
    <w:p w14:paraId="528AED88" w14:textId="77777777" w:rsidR="00063362" w:rsidRPr="00DA554D" w:rsidRDefault="00063362" w:rsidP="00063362">
      <w:pPr>
        <w:jc w:val="both"/>
        <w:rPr>
          <w:rFonts w:cs="Arial"/>
        </w:rPr>
      </w:pPr>
    </w:p>
    <w:p w14:paraId="17641393" w14:textId="36C758F7" w:rsidR="00063362" w:rsidRDefault="00063362" w:rsidP="00063362">
      <w:pPr>
        <w:jc w:val="both"/>
        <w:rPr>
          <w:rFonts w:cs="Arial"/>
        </w:rPr>
      </w:pPr>
      <w:r w:rsidRPr="00DA554D">
        <w:rPr>
          <w:rFonts w:cs="Arial"/>
        </w:rPr>
        <w:t xml:space="preserve">Section 12(1) “does not oblige a public authority to comply with a request for information if the authority estimates that the cost of complying with the request would exceed the appropriate limit.”  </w:t>
      </w:r>
    </w:p>
    <w:p w14:paraId="18ACDE6A" w14:textId="77777777" w:rsidR="00063362" w:rsidRPr="00DA554D" w:rsidRDefault="00063362" w:rsidP="00063362">
      <w:pPr>
        <w:jc w:val="both"/>
        <w:rPr>
          <w:rFonts w:cs="Arial"/>
        </w:rPr>
      </w:pPr>
    </w:p>
    <w:p w14:paraId="754FBF79" w14:textId="77777777" w:rsidR="00063362" w:rsidRPr="00DA554D" w:rsidRDefault="00063362" w:rsidP="00063362">
      <w:pPr>
        <w:jc w:val="both"/>
        <w:rPr>
          <w:rFonts w:cs="Arial"/>
        </w:rPr>
      </w:pPr>
      <w:r w:rsidRPr="00DA554D">
        <w:rPr>
          <w:rFonts w:cs="Arial"/>
        </w:rPr>
        <w:t>In the case of a police force, the appropriate limit is set at £450, which is calculated at £25 per hour (i.e. 18 hours). Gwent Police would have to conduct a manual search to find and extract the information for this question. This would take more than 18 hours of staff time therefore we are unable to answer this question and the exemption is engaged.</w:t>
      </w:r>
    </w:p>
    <w:p w14:paraId="64DB4D6A" w14:textId="36B4F183" w:rsidR="00063362" w:rsidRDefault="00063362" w:rsidP="00437C62">
      <w:pPr>
        <w:rPr>
          <w:color w:val="000000" w:themeColor="text1"/>
        </w:rPr>
      </w:pPr>
    </w:p>
    <w:p w14:paraId="56A1FDCA" w14:textId="2A841DF3" w:rsidR="00A071C3" w:rsidRDefault="00A071C3" w:rsidP="00437C62">
      <w:pPr>
        <w:rPr>
          <w:color w:val="000000" w:themeColor="text1"/>
        </w:rPr>
      </w:pPr>
      <w:r>
        <w:t xml:space="preserve">Please note </w:t>
      </w:r>
      <w:r>
        <w:t>that FOI is a process for held information not opinion</w:t>
      </w:r>
      <w:r>
        <w:t>.</w:t>
      </w:r>
    </w:p>
    <w:p w14:paraId="4745966C" w14:textId="77777777" w:rsidR="00063362" w:rsidRDefault="00063362" w:rsidP="00437C62">
      <w:pPr>
        <w:rPr>
          <w:color w:val="000000" w:themeColor="text1"/>
        </w:rPr>
      </w:pPr>
    </w:p>
    <w:p w14:paraId="7FD72AAB" w14:textId="7C8CF0C8" w:rsidR="008B42A9" w:rsidRPr="008B42A9" w:rsidRDefault="008B42A9" w:rsidP="008B42A9">
      <w:pPr>
        <w:jc w:val="both"/>
      </w:pPr>
      <w:r w:rsidRPr="008B42A9">
        <w:lastRenderedPageBreak/>
        <w:t>3. How often have requests been made under Clare's and Sarah's law each year since 2010 by either calendar or financial year (whichever option is easier) Can these statistics be broken down into requests by males and females or do the statistics only cover all requests?</w:t>
      </w:r>
    </w:p>
    <w:p w14:paraId="0A170C9F" w14:textId="77777777" w:rsidR="008B42A9" w:rsidRDefault="008B42A9" w:rsidP="008B42A9">
      <w:pPr>
        <w:jc w:val="both"/>
        <w:rPr>
          <w:b/>
          <w:bCs/>
        </w:rPr>
      </w:pPr>
      <w:r>
        <w:rPr>
          <w:b/>
          <w:bCs/>
        </w:rPr>
        <w:t>Clares Law</w:t>
      </w:r>
    </w:p>
    <w:p w14:paraId="314BD873" w14:textId="77777777" w:rsidR="008B42A9" w:rsidRDefault="008B42A9" w:rsidP="008B42A9">
      <w:pPr>
        <w:jc w:val="both"/>
      </w:pPr>
      <w:r>
        <w:t xml:space="preserve">No data before 2017 </w:t>
      </w:r>
    </w:p>
    <w:p w14:paraId="45BB7F74" w14:textId="77777777" w:rsidR="008B42A9" w:rsidRDefault="008B42A9" w:rsidP="008B42A9">
      <w:pPr>
        <w:jc w:val="both"/>
      </w:pPr>
      <w:r>
        <w:t xml:space="preserve">Calendar year’s </w:t>
      </w:r>
      <w:r>
        <w:tab/>
        <w:t>2017 = 94 (all female persons at risk)</w:t>
      </w:r>
    </w:p>
    <w:p w14:paraId="45157083" w14:textId="77777777" w:rsidR="008B42A9" w:rsidRDefault="008B42A9" w:rsidP="008B42A9">
      <w:pPr>
        <w:ind w:left="1440" w:firstLine="720"/>
        <w:jc w:val="both"/>
      </w:pPr>
      <w:r>
        <w:t>2018 = 188 (all female persons at risk)</w:t>
      </w:r>
    </w:p>
    <w:p w14:paraId="628A3697" w14:textId="77777777" w:rsidR="008B42A9" w:rsidRDefault="008B42A9" w:rsidP="008B42A9">
      <w:pPr>
        <w:ind w:left="1440" w:firstLine="720"/>
        <w:jc w:val="both"/>
      </w:pPr>
      <w:r>
        <w:t>2019 = 236 (all female persons at risk)</w:t>
      </w:r>
    </w:p>
    <w:p w14:paraId="6B5D395C" w14:textId="77777777" w:rsidR="008B42A9" w:rsidRDefault="008B42A9" w:rsidP="008B42A9">
      <w:pPr>
        <w:ind w:left="1440" w:firstLine="720"/>
        <w:jc w:val="both"/>
      </w:pPr>
      <w:r>
        <w:t>2020 = 350 (3 males, 347 female persons at risk)</w:t>
      </w:r>
    </w:p>
    <w:p w14:paraId="726E7DF2" w14:textId="77777777" w:rsidR="008B42A9" w:rsidRDefault="008B42A9" w:rsidP="008B42A9">
      <w:pPr>
        <w:ind w:left="2160"/>
        <w:jc w:val="both"/>
      </w:pPr>
      <w:r>
        <w:t>2021 to date (03/11/21) = 426 (5 males, 421 female persons at risk)</w:t>
      </w:r>
    </w:p>
    <w:p w14:paraId="13E2B31D" w14:textId="77777777" w:rsidR="008B42A9" w:rsidRDefault="008B42A9" w:rsidP="008B42A9">
      <w:pPr>
        <w:jc w:val="both"/>
        <w:rPr>
          <w:highlight w:val="magenta"/>
        </w:rPr>
      </w:pPr>
      <w:r>
        <w:rPr>
          <w:highlight w:val="magenta"/>
        </w:rPr>
        <w:t xml:space="preserve"> </w:t>
      </w:r>
    </w:p>
    <w:p w14:paraId="7AFE1F4C" w14:textId="77777777" w:rsidR="008B42A9" w:rsidRPr="008B42A9" w:rsidRDefault="008B42A9" w:rsidP="008B42A9">
      <w:pPr>
        <w:jc w:val="both"/>
      </w:pPr>
      <w:r w:rsidRPr="008B42A9">
        <w:t>4. What is the criteria used for a person to be identified as a risk under Clare's and Sarah's law?</w:t>
      </w:r>
    </w:p>
    <w:p w14:paraId="0203968E" w14:textId="77777777" w:rsidR="008B42A9" w:rsidRDefault="008B42A9" w:rsidP="008B42A9">
      <w:pPr>
        <w:pStyle w:val="Default"/>
        <w:jc w:val="both"/>
        <w:rPr>
          <w:b/>
          <w:bCs/>
        </w:rPr>
      </w:pPr>
      <w:r>
        <w:rPr>
          <w:b/>
          <w:bCs/>
        </w:rPr>
        <w:t xml:space="preserve">Clares law </w:t>
      </w:r>
    </w:p>
    <w:p w14:paraId="5EB38772" w14:textId="77777777" w:rsidR="008B42A9" w:rsidRDefault="008B42A9" w:rsidP="008B42A9">
      <w:pPr>
        <w:jc w:val="both"/>
      </w:pPr>
      <w:r>
        <w:t>Partner (A) who is/was in an intimate relationship with a previously violent or abusive individual (B), is given disclosure to enable them to make informed choices about continuing in that relationship or about their personal safety if no longer in the relationship.</w:t>
      </w:r>
    </w:p>
    <w:p w14:paraId="286013A8" w14:textId="77777777" w:rsidR="008B42A9" w:rsidRDefault="008B42A9" w:rsidP="008B42A9">
      <w:pPr>
        <w:jc w:val="both"/>
        <w:rPr>
          <w:highlight w:val="magenta"/>
        </w:rPr>
      </w:pPr>
    </w:p>
    <w:p w14:paraId="08DEEC73" w14:textId="77777777" w:rsidR="008B42A9" w:rsidRPr="008B42A9" w:rsidRDefault="008B42A9" w:rsidP="008B42A9">
      <w:pPr>
        <w:jc w:val="both"/>
      </w:pPr>
    </w:p>
    <w:p w14:paraId="6B21B823" w14:textId="77777777" w:rsidR="008B42A9" w:rsidRDefault="008B42A9" w:rsidP="008B42A9">
      <w:pPr>
        <w:jc w:val="both"/>
      </w:pPr>
      <w:r w:rsidRPr="008B42A9">
        <w:t>5. Are all incidents of domestic violence and sexual assault logged on the system even if no arrest or prosecution takes place. Would these results show up under Clare's and Sarah's law?</w:t>
      </w:r>
    </w:p>
    <w:p w14:paraId="07A2180B" w14:textId="77777777" w:rsidR="008B42A9" w:rsidRDefault="008B42A9" w:rsidP="008B42A9">
      <w:pPr>
        <w:jc w:val="both"/>
        <w:rPr>
          <w:b/>
          <w:bCs/>
        </w:rPr>
      </w:pPr>
      <w:r>
        <w:rPr>
          <w:b/>
          <w:bCs/>
        </w:rPr>
        <w:t>Clares Law</w:t>
      </w:r>
    </w:p>
    <w:p w14:paraId="70812540" w14:textId="77777777" w:rsidR="008B42A9" w:rsidRDefault="008B42A9" w:rsidP="008B42A9">
      <w:pPr>
        <w:jc w:val="both"/>
      </w:pPr>
      <w:r>
        <w:t xml:space="preserve">Previous police calls/convictions/non convictions are disclosed to the ‘person at risk’ if the behaviour is in relation to domestic abuse, domestic violence, other violence, use of weapons and any other concerning behaviour towards adults that the ‘person at risk’ may become a victim of if they continue in the relationship. </w:t>
      </w:r>
    </w:p>
    <w:p w14:paraId="257EFE7D" w14:textId="77777777" w:rsidR="008B42A9" w:rsidRDefault="008B42A9" w:rsidP="008B42A9"/>
    <w:p w14:paraId="085E2623" w14:textId="1E1214CE" w:rsidR="00A75893" w:rsidRDefault="00A071C3" w:rsidP="00437C62">
      <w:pPr>
        <w:pBdr>
          <w:bottom w:val="dotted" w:sz="24" w:space="1" w:color="auto"/>
        </w:pBdr>
        <w:rPr>
          <w:color w:val="000000" w:themeColor="text1"/>
        </w:rPr>
      </w:pPr>
      <w:r>
        <w:rPr>
          <w:color w:val="000000" w:themeColor="text1"/>
        </w:rPr>
        <w:t xml:space="preserve"> </w:t>
      </w: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DC1A8" w14:textId="77777777" w:rsidR="009B6464" w:rsidRDefault="009B6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3E238" w14:textId="77777777" w:rsidR="009B6464" w:rsidRDefault="009B64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11D9C" w14:textId="77777777" w:rsidR="009B6464" w:rsidRDefault="009B6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3E100" w14:textId="77777777" w:rsidR="009B6464" w:rsidRDefault="009B64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63362"/>
    <w:rsid w:val="000A714E"/>
    <w:rsid w:val="000B5923"/>
    <w:rsid w:val="00175D83"/>
    <w:rsid w:val="002534D0"/>
    <w:rsid w:val="0026412A"/>
    <w:rsid w:val="002A0491"/>
    <w:rsid w:val="002F467F"/>
    <w:rsid w:val="003D048B"/>
    <w:rsid w:val="003F5698"/>
    <w:rsid w:val="00434A7E"/>
    <w:rsid w:val="00437C62"/>
    <w:rsid w:val="00471710"/>
    <w:rsid w:val="00487A82"/>
    <w:rsid w:val="005C3D07"/>
    <w:rsid w:val="00666793"/>
    <w:rsid w:val="007E49B2"/>
    <w:rsid w:val="007F256C"/>
    <w:rsid w:val="008B42A9"/>
    <w:rsid w:val="008D19BE"/>
    <w:rsid w:val="00913742"/>
    <w:rsid w:val="00934B75"/>
    <w:rsid w:val="009B6464"/>
    <w:rsid w:val="009D7142"/>
    <w:rsid w:val="00A071C3"/>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customStyle="1" w:styleId="Default">
    <w:name w:val="Default"/>
    <w:rsid w:val="008B42A9"/>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944032">
      <w:bodyDiv w:val="1"/>
      <w:marLeft w:val="0"/>
      <w:marRight w:val="0"/>
      <w:marTop w:val="0"/>
      <w:marBottom w:val="0"/>
      <w:divBdr>
        <w:top w:val="none" w:sz="0" w:space="0" w:color="auto"/>
        <w:left w:val="none" w:sz="0" w:space="0" w:color="auto"/>
        <w:bottom w:val="none" w:sz="0" w:space="0" w:color="auto"/>
        <w:right w:val="none" w:sz="0" w:space="0" w:color="auto"/>
      </w:divBdr>
    </w:div>
    <w:div w:id="163421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933</Words>
  <Characters>5324</Characters>
  <Application>Microsoft Office Word</Application>
  <DocSecurity>0</DocSecurity>
  <Lines>44</Lines>
  <Paragraphs>12</Paragraphs>
  <ScaleCrop>false</ScaleCrop>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Catley, Jordan</cp:lastModifiedBy>
  <cp:revision>34</cp:revision>
  <dcterms:created xsi:type="dcterms:W3CDTF">2020-09-10T12:36:00Z</dcterms:created>
  <dcterms:modified xsi:type="dcterms:W3CDTF">2021-11-15T14:09:00Z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