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8D3DAC4"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433DD">
        <w:rPr>
          <w:b/>
          <w:bCs/>
          <w:color w:val="000000" w:themeColor="text1"/>
        </w:rPr>
        <w:t>24685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35BF56C" w14:textId="77777777" w:rsidR="00C433DD" w:rsidRPr="00C433DD" w:rsidRDefault="00C433DD" w:rsidP="00C433DD">
      <w:pPr>
        <w:rPr>
          <w:color w:val="000000" w:themeColor="text1"/>
        </w:rPr>
      </w:pPr>
      <w:r w:rsidRPr="00C433DD">
        <w:rPr>
          <w:color w:val="000000" w:themeColor="text1"/>
        </w:rPr>
        <w:t xml:space="preserve">1. How many special constables (officers with active warrant cards) are currently volunteering for your force? </w:t>
      </w:r>
    </w:p>
    <w:p w14:paraId="79E2D219" w14:textId="77777777" w:rsidR="00C433DD" w:rsidRPr="00C433DD" w:rsidRDefault="00C433DD" w:rsidP="00C433DD">
      <w:pPr>
        <w:rPr>
          <w:color w:val="000000" w:themeColor="text1"/>
        </w:rPr>
      </w:pPr>
    </w:p>
    <w:p w14:paraId="0DA30D2F" w14:textId="77777777" w:rsidR="00C433DD" w:rsidRPr="00C433DD" w:rsidRDefault="00C433DD" w:rsidP="00C433DD">
      <w:pPr>
        <w:rPr>
          <w:color w:val="000000" w:themeColor="text1"/>
        </w:rPr>
      </w:pPr>
      <w:r w:rsidRPr="00C433DD">
        <w:rPr>
          <w:color w:val="000000" w:themeColor="text1"/>
        </w:rPr>
        <w:t>a) Of this number, how many are currently behind on their commitment to work 16 hours/month or are not currently active for any other reason (</w:t>
      </w:r>
      <w:proofErr w:type="spellStart"/>
      <w:r w:rsidRPr="00C433DD">
        <w:rPr>
          <w:color w:val="000000" w:themeColor="text1"/>
        </w:rPr>
        <w:t>eg</w:t>
      </w:r>
      <w:proofErr w:type="spellEnd"/>
      <w:r w:rsidRPr="00C433DD">
        <w:rPr>
          <w:color w:val="000000" w:themeColor="text1"/>
        </w:rPr>
        <w:t xml:space="preserve">: failed mandatory fitness training)? </w:t>
      </w:r>
    </w:p>
    <w:p w14:paraId="433D808B" w14:textId="77777777" w:rsidR="00C433DD" w:rsidRPr="00C433DD" w:rsidRDefault="00C433DD" w:rsidP="00C433DD">
      <w:pPr>
        <w:rPr>
          <w:color w:val="000000" w:themeColor="text1"/>
        </w:rPr>
      </w:pPr>
    </w:p>
    <w:p w14:paraId="29791E61" w14:textId="77777777" w:rsidR="00C433DD" w:rsidRPr="00C433DD" w:rsidRDefault="00C433DD" w:rsidP="00C433DD">
      <w:pPr>
        <w:rPr>
          <w:color w:val="000000" w:themeColor="text1"/>
        </w:rPr>
      </w:pPr>
      <w:r w:rsidRPr="00C433DD">
        <w:rPr>
          <w:color w:val="000000" w:themeColor="text1"/>
        </w:rPr>
        <w:t xml:space="preserve">b) Of this number, how many retain uniform or police equipment in their personal possession? </w:t>
      </w:r>
    </w:p>
    <w:p w14:paraId="268F2676" w14:textId="77777777" w:rsidR="00C433DD" w:rsidRPr="00C433DD" w:rsidRDefault="00C433DD" w:rsidP="00C433DD">
      <w:pPr>
        <w:rPr>
          <w:color w:val="000000" w:themeColor="text1"/>
        </w:rPr>
      </w:pPr>
    </w:p>
    <w:p w14:paraId="09DF6FF9" w14:textId="4C219817" w:rsidR="008D19BE" w:rsidRDefault="00C433DD" w:rsidP="00C433DD">
      <w:pPr>
        <w:rPr>
          <w:color w:val="000000" w:themeColor="text1"/>
        </w:rPr>
      </w:pPr>
      <w:r w:rsidRPr="00C433DD">
        <w:rPr>
          <w:color w:val="000000" w:themeColor="text1"/>
        </w:rPr>
        <w:t>c) Of the officers who have not fulfilled their commitment or are not currently active, how many have continued to access force systems or information?</w:t>
      </w:r>
    </w:p>
    <w:p w14:paraId="3FD48B50" w14:textId="77777777" w:rsidR="00C433DD" w:rsidRPr="008D19BE" w:rsidRDefault="00C433DD" w:rsidP="00C433DD">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5E5BC76C" w:rsidR="008D19BE" w:rsidRDefault="008D19BE" w:rsidP="00437C62">
      <w:pPr>
        <w:rPr>
          <w:color w:val="000000" w:themeColor="text1"/>
        </w:rPr>
      </w:pPr>
    </w:p>
    <w:p w14:paraId="073FC3C1" w14:textId="1FD1879F" w:rsidR="0091113F" w:rsidRPr="0091113F" w:rsidRDefault="0091113F" w:rsidP="0091113F">
      <w:pPr>
        <w:pStyle w:val="ListParagraph"/>
        <w:numPr>
          <w:ilvl w:val="0"/>
          <w:numId w:val="16"/>
        </w:numPr>
        <w:pBdr>
          <w:bottom w:val="dotted" w:sz="24" w:space="1" w:color="auto"/>
        </w:pBdr>
        <w:jc w:val="both"/>
      </w:pPr>
      <w:r w:rsidRPr="0091113F">
        <w:t xml:space="preserve">How many special constables (officers with active warrant cards) are currently volunteering for your force? </w:t>
      </w:r>
      <w:r w:rsidRPr="0091113F">
        <w:rPr>
          <w:b/>
          <w:bCs/>
        </w:rPr>
        <w:t>76</w:t>
      </w:r>
    </w:p>
    <w:p w14:paraId="444CAF29" w14:textId="77777777" w:rsidR="0091113F" w:rsidRPr="0091113F" w:rsidRDefault="0091113F" w:rsidP="0091113F">
      <w:pPr>
        <w:pBdr>
          <w:bottom w:val="dotted" w:sz="24" w:space="1" w:color="auto"/>
        </w:pBdr>
        <w:ind w:left="360"/>
        <w:jc w:val="both"/>
      </w:pPr>
    </w:p>
    <w:p w14:paraId="5D3722CB" w14:textId="77777777" w:rsidR="0091113F" w:rsidRPr="0091113F" w:rsidRDefault="0091113F" w:rsidP="0091113F">
      <w:pPr>
        <w:pStyle w:val="ListParagraph"/>
        <w:numPr>
          <w:ilvl w:val="0"/>
          <w:numId w:val="17"/>
        </w:numPr>
        <w:pBdr>
          <w:bottom w:val="dotted" w:sz="24" w:space="1" w:color="auto"/>
        </w:pBdr>
        <w:jc w:val="both"/>
      </w:pPr>
      <w:r w:rsidRPr="0091113F">
        <w:t>Of this number, how many are currently behind on their commitment to work 16 hours/month or are not currently active for any other reason (</w:t>
      </w:r>
      <w:proofErr w:type="spellStart"/>
      <w:r w:rsidRPr="0091113F">
        <w:t>eg</w:t>
      </w:r>
      <w:proofErr w:type="spellEnd"/>
      <w:r w:rsidRPr="0091113F">
        <w:t xml:space="preserve">: failed mandatory fitness training)? </w:t>
      </w:r>
      <w:r w:rsidRPr="0091113F">
        <w:rPr>
          <w:b/>
          <w:bCs/>
        </w:rPr>
        <w:t xml:space="preserve">There is no mandatory requirement to work 16 hours per month. This is not a legal requirement. See guidance here </w:t>
      </w:r>
      <w:hyperlink r:id="rId7" w:history="1">
        <w:r w:rsidRPr="0091113F">
          <w:rPr>
            <w:rStyle w:val="Hyperlink"/>
            <w:b/>
            <w:bCs/>
            <w:color w:val="auto"/>
          </w:rPr>
          <w:t>https://www.college.police.uk/guidance/special-constables</w:t>
        </w:r>
      </w:hyperlink>
      <w:r w:rsidRPr="0091113F">
        <w:rPr>
          <w:b/>
          <w:bCs/>
        </w:rPr>
        <w:t>. We have 2 Special Constables who are on an agreed leave of absence for a short period of time, and 3 who are not performing frontline operational duties due to injury or secondment to external roles.</w:t>
      </w:r>
      <w:r w:rsidRPr="0091113F">
        <w:t xml:space="preserve"> </w:t>
      </w:r>
      <w:r w:rsidRPr="0091113F">
        <w:rPr>
          <w:b/>
          <w:bCs/>
        </w:rPr>
        <w:t xml:space="preserve">They are however all still </w:t>
      </w:r>
      <w:proofErr w:type="gramStart"/>
      <w:r w:rsidRPr="0091113F">
        <w:rPr>
          <w:b/>
          <w:bCs/>
        </w:rPr>
        <w:t>active,</w:t>
      </w:r>
      <w:proofErr w:type="gramEnd"/>
      <w:r w:rsidRPr="0091113F">
        <w:rPr>
          <w:b/>
          <w:bCs/>
        </w:rPr>
        <w:t xml:space="preserve"> in that they still attend training or are performing non-frontline </w:t>
      </w:r>
      <w:r w:rsidRPr="0091113F">
        <w:rPr>
          <w:b/>
          <w:bCs/>
        </w:rPr>
        <w:lastRenderedPageBreak/>
        <w:t xml:space="preserve">duties. So technically the answer to your question is 0, as they are all technically active and performing as expected. </w:t>
      </w:r>
    </w:p>
    <w:p w14:paraId="2D51178E" w14:textId="77777777" w:rsidR="0091113F" w:rsidRPr="0091113F" w:rsidRDefault="0091113F" w:rsidP="0091113F">
      <w:pPr>
        <w:pBdr>
          <w:bottom w:val="dotted" w:sz="24" w:space="1" w:color="auto"/>
        </w:pBdr>
        <w:ind w:left="360"/>
        <w:jc w:val="both"/>
      </w:pPr>
    </w:p>
    <w:p w14:paraId="4DA32A49" w14:textId="77777777" w:rsidR="0091113F" w:rsidRPr="0091113F" w:rsidRDefault="0091113F" w:rsidP="0091113F">
      <w:pPr>
        <w:pStyle w:val="ListParagraph"/>
        <w:numPr>
          <w:ilvl w:val="0"/>
          <w:numId w:val="17"/>
        </w:numPr>
        <w:pBdr>
          <w:bottom w:val="dotted" w:sz="24" w:space="1" w:color="auto"/>
        </w:pBdr>
        <w:jc w:val="both"/>
      </w:pPr>
      <w:r w:rsidRPr="0091113F">
        <w:t>b) Of this number, how many retain uniform or police equipment in their personal possession</w:t>
      </w:r>
      <w:r w:rsidRPr="0091113F">
        <w:rPr>
          <w:b/>
          <w:bCs/>
        </w:rPr>
        <w:t>? Not applicable – all are technically active even if they are not performing frontline duties</w:t>
      </w:r>
    </w:p>
    <w:p w14:paraId="15A61062" w14:textId="77777777" w:rsidR="0091113F" w:rsidRPr="0091113F" w:rsidRDefault="0091113F" w:rsidP="0091113F">
      <w:pPr>
        <w:pBdr>
          <w:bottom w:val="dotted" w:sz="24" w:space="1" w:color="auto"/>
        </w:pBdr>
        <w:ind w:left="360"/>
        <w:jc w:val="both"/>
      </w:pPr>
    </w:p>
    <w:p w14:paraId="58E86081" w14:textId="0CE227B8" w:rsidR="008D19BE" w:rsidRPr="0091113F" w:rsidRDefault="0091113F" w:rsidP="0091113F">
      <w:pPr>
        <w:pBdr>
          <w:bottom w:val="dotted" w:sz="24" w:space="1" w:color="auto"/>
        </w:pBdr>
        <w:ind w:left="360"/>
        <w:jc w:val="both"/>
        <w:rPr>
          <w:b/>
          <w:bCs/>
        </w:rPr>
      </w:pPr>
      <w:r w:rsidRPr="0091113F">
        <w:t xml:space="preserve">c) Of the officers who have not fulfilled their commitment or are not currently active, how many have continued to access force systems or information? </w:t>
      </w:r>
      <w:r w:rsidRPr="0091113F">
        <w:rPr>
          <w:b/>
          <w:bCs/>
        </w:rPr>
        <w:t>Not applicable – all are technically active even if they are not performing frontline duties</w:t>
      </w:r>
    </w:p>
    <w:p w14:paraId="3664B0CC" w14:textId="77777777" w:rsidR="0091113F" w:rsidRPr="008D19BE" w:rsidRDefault="0091113F" w:rsidP="0091113F">
      <w:pPr>
        <w:pBdr>
          <w:bottom w:val="dotted" w:sz="24" w:space="1" w:color="auto"/>
        </w:pBdr>
        <w:ind w:left="360"/>
        <w:rPr>
          <w:color w:val="000000" w:themeColor="text1"/>
        </w:rPr>
      </w:pPr>
    </w:p>
    <w:p w14:paraId="43989053" w14:textId="77777777" w:rsidR="0091113F" w:rsidRDefault="0091113F" w:rsidP="002F467F">
      <w:pPr>
        <w:jc w:val="both"/>
        <w:rPr>
          <w:color w:val="000000" w:themeColor="text1"/>
        </w:rPr>
      </w:pPr>
    </w:p>
    <w:p w14:paraId="72324E60" w14:textId="4FDF464B"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44594" w14:textId="77777777" w:rsidR="00C433DD" w:rsidRDefault="00C43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B6D4" w14:textId="77777777" w:rsidR="00C433DD" w:rsidRDefault="00C43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8DBE" w14:textId="77777777" w:rsidR="00C433DD" w:rsidRDefault="00C43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DFCE" w14:textId="77777777" w:rsidR="00C433DD" w:rsidRDefault="00C4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B95002"/>
    <w:multiLevelType w:val="hybridMultilevel"/>
    <w:tmpl w:val="9E6C1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D29BF"/>
    <w:multiLevelType w:val="hybridMultilevel"/>
    <w:tmpl w:val="49A832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6"/>
  </w:num>
  <w:num w:numId="14">
    <w:abstractNumId w:val="12"/>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113F"/>
    <w:rsid w:val="00913742"/>
    <w:rsid w:val="00934B75"/>
    <w:rsid w:val="009D7142"/>
    <w:rsid w:val="00A41FF6"/>
    <w:rsid w:val="00A43529"/>
    <w:rsid w:val="00A75893"/>
    <w:rsid w:val="00AD1D5C"/>
    <w:rsid w:val="00AF40E8"/>
    <w:rsid w:val="00B21CFB"/>
    <w:rsid w:val="00B33506"/>
    <w:rsid w:val="00B446B3"/>
    <w:rsid w:val="00B84E3F"/>
    <w:rsid w:val="00C05024"/>
    <w:rsid w:val="00C433DD"/>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semiHidden/>
    <w:unhideWhenUsed/>
    <w:rsid w:val="00911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3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guidance/special-constab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2021-11-22T11:07:00Z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