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7199109"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451BB7" w:rsidRPr="00451BB7">
        <w:rPr>
          <w:b/>
          <w:bCs/>
          <w:color w:val="000000" w:themeColor="text1"/>
        </w:rPr>
        <w:t>24855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1385FA5" w:rsidR="008D19BE" w:rsidRDefault="008D19BE" w:rsidP="008D19BE">
      <w:pPr>
        <w:rPr>
          <w:b/>
          <w:bCs/>
          <w:color w:val="000000" w:themeColor="text1"/>
        </w:rPr>
      </w:pPr>
      <w:r w:rsidRPr="008D19BE">
        <w:rPr>
          <w:b/>
          <w:bCs/>
          <w:color w:val="000000" w:themeColor="text1"/>
        </w:rPr>
        <w:t>REQUEST</w:t>
      </w:r>
    </w:p>
    <w:p w14:paraId="6AB9E254" w14:textId="77777777" w:rsidR="00D85FF8" w:rsidRPr="008D19BE" w:rsidRDefault="00D85FF8" w:rsidP="008D19BE">
      <w:pPr>
        <w:rPr>
          <w:b/>
          <w:bCs/>
          <w:color w:val="000000" w:themeColor="text1"/>
        </w:rPr>
      </w:pPr>
    </w:p>
    <w:p w14:paraId="5A73E45F" w14:textId="77777777" w:rsidR="00D85FF8" w:rsidRPr="00D85FF8" w:rsidRDefault="00D85FF8" w:rsidP="00D85FF8">
      <w:pPr>
        <w:jc w:val="both"/>
        <w:rPr>
          <w:color w:val="000000" w:themeColor="text1"/>
        </w:rPr>
      </w:pPr>
      <w:r w:rsidRPr="00D85FF8">
        <w:rPr>
          <w:color w:val="000000" w:themeColor="text1"/>
        </w:rPr>
        <w:t>Please provide the following information:</w:t>
      </w:r>
    </w:p>
    <w:p w14:paraId="2B0CE628" w14:textId="77777777" w:rsidR="00D85FF8" w:rsidRPr="00D85FF8" w:rsidRDefault="00D85FF8" w:rsidP="00D85FF8">
      <w:pPr>
        <w:jc w:val="both"/>
        <w:rPr>
          <w:color w:val="000000" w:themeColor="text1"/>
        </w:rPr>
      </w:pPr>
      <w:r w:rsidRPr="00D85FF8">
        <w:rPr>
          <w:color w:val="000000" w:themeColor="text1"/>
        </w:rPr>
        <w:t xml:space="preserve">1) The total number of Disclosure Requests made under the Domestic Violence Disclosure Scheme (also known as “Clare’s Law”)" during the </w:t>
      </w:r>
      <w:proofErr w:type="gramStart"/>
      <w:r w:rsidRPr="00D85FF8">
        <w:rPr>
          <w:color w:val="000000" w:themeColor="text1"/>
        </w:rPr>
        <w:t>period  1</w:t>
      </w:r>
      <w:proofErr w:type="gramEnd"/>
      <w:r w:rsidRPr="00D85FF8">
        <w:rPr>
          <w:color w:val="000000" w:themeColor="text1"/>
        </w:rPr>
        <w:t>st January 2021 up to and including 31st December 2021 by Gender, Age, &amp; Ethnicity.</w:t>
      </w:r>
    </w:p>
    <w:p w14:paraId="28E6579C" w14:textId="77777777" w:rsidR="00D85FF8" w:rsidRPr="00D85FF8" w:rsidRDefault="00D85FF8" w:rsidP="00D85FF8">
      <w:pPr>
        <w:jc w:val="both"/>
        <w:rPr>
          <w:color w:val="000000" w:themeColor="text1"/>
        </w:rPr>
      </w:pPr>
      <w:r w:rsidRPr="00D85FF8">
        <w:rPr>
          <w:color w:val="000000" w:themeColor="text1"/>
        </w:rPr>
        <w:t>For your ease of reference, please provide the details for the “Person at Risk”</w:t>
      </w:r>
    </w:p>
    <w:p w14:paraId="27BBD5AA" w14:textId="77777777" w:rsidR="00D85FF8" w:rsidRPr="00D85FF8" w:rsidRDefault="00D85FF8" w:rsidP="00D85FF8">
      <w:pPr>
        <w:jc w:val="both"/>
        <w:rPr>
          <w:color w:val="000000" w:themeColor="text1"/>
        </w:rPr>
      </w:pPr>
      <w:r w:rsidRPr="00D85FF8">
        <w:rPr>
          <w:color w:val="000000" w:themeColor="text1"/>
        </w:rPr>
        <w:t>i.e. the person for whom the enquiry has been made by directly and/or on behalf of.</w:t>
      </w:r>
    </w:p>
    <w:p w14:paraId="6C009400" w14:textId="77777777" w:rsidR="00D85FF8" w:rsidRPr="00D85FF8" w:rsidRDefault="00D85FF8" w:rsidP="00D85FF8">
      <w:pPr>
        <w:jc w:val="both"/>
        <w:rPr>
          <w:color w:val="000000" w:themeColor="text1"/>
        </w:rPr>
      </w:pPr>
      <w:r w:rsidRPr="00D85FF8">
        <w:rPr>
          <w:color w:val="000000" w:themeColor="text1"/>
        </w:rPr>
        <w:t xml:space="preserve"> </w:t>
      </w:r>
    </w:p>
    <w:p w14:paraId="2A95A64D" w14:textId="6D3ABB82" w:rsidR="008D19BE" w:rsidRDefault="00D85FF8" w:rsidP="00D85FF8">
      <w:pPr>
        <w:jc w:val="both"/>
        <w:rPr>
          <w:color w:val="000000" w:themeColor="text1"/>
        </w:rPr>
      </w:pPr>
      <w:r w:rsidRPr="00D85FF8">
        <w:rPr>
          <w:color w:val="000000" w:themeColor="text1"/>
        </w:rPr>
        <w:t xml:space="preserve">2)  During the period 1st January 2021 up to and including 31st December 2021 please provide the Gender of the person making the enquiry regarding their current partner and/or the person making the enquiry directly on behalf of the person at risk.  </w:t>
      </w:r>
    </w:p>
    <w:p w14:paraId="09DF6FF9" w14:textId="6BCC3456" w:rsidR="008D19BE" w:rsidRDefault="008D19BE" w:rsidP="008D19BE">
      <w:pPr>
        <w:rPr>
          <w:color w:val="000000" w:themeColor="text1"/>
        </w:rPr>
      </w:pPr>
    </w:p>
    <w:p w14:paraId="1400A8A7" w14:textId="7852C73C" w:rsidR="003514D5" w:rsidRDefault="003514D5" w:rsidP="008D19BE">
      <w:pPr>
        <w:rPr>
          <w:color w:val="000000" w:themeColor="text1"/>
        </w:rPr>
      </w:pPr>
    </w:p>
    <w:p w14:paraId="1AB24E52" w14:textId="77777777" w:rsidR="003514D5" w:rsidRPr="008D19BE" w:rsidRDefault="003514D5"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6B01B394" w14:textId="4C2DBB7B" w:rsidR="003514D5" w:rsidRDefault="003514D5" w:rsidP="003514D5">
      <w:pPr>
        <w:jc w:val="both"/>
      </w:pPr>
      <w:r>
        <w:t xml:space="preserve">1) The total number of Disclosure Requests made under the Domestic Violence Disclosure Scheme (also known as “Clare’s Law”)" during the period 1st January 2021 up to and including 31st December 2021 by </w:t>
      </w:r>
      <w:r>
        <w:rPr>
          <w:b/>
          <w:bCs/>
        </w:rPr>
        <w:t>Gender, Age, &amp; Ethnicity.</w:t>
      </w:r>
    </w:p>
    <w:p w14:paraId="3B532DB3" w14:textId="77777777" w:rsidR="003514D5" w:rsidRDefault="003514D5" w:rsidP="003514D5">
      <w:pPr>
        <w:jc w:val="both"/>
      </w:pPr>
      <w:r>
        <w:t>For your ease of reference, please provide the details for the “Person at Risk”</w:t>
      </w:r>
    </w:p>
    <w:p w14:paraId="010D0C77" w14:textId="117E2DA3" w:rsidR="003514D5" w:rsidRDefault="003514D5" w:rsidP="003514D5">
      <w:pPr>
        <w:jc w:val="both"/>
      </w:pPr>
      <w:r>
        <w:t>i.e.</w:t>
      </w:r>
      <w:r w:rsidR="002E49DD">
        <w:t>,</w:t>
      </w:r>
      <w:r>
        <w:t xml:space="preserve"> the person for whom the enquiry has been made by directly and/or on behalf of.</w:t>
      </w:r>
    </w:p>
    <w:p w14:paraId="6CA3DBF0" w14:textId="77777777" w:rsidR="003514D5" w:rsidRDefault="003514D5" w:rsidP="003514D5">
      <w:pPr>
        <w:jc w:val="both"/>
      </w:pPr>
    </w:p>
    <w:p w14:paraId="6539748E" w14:textId="3C742FA9" w:rsidR="003514D5" w:rsidRPr="003514D5" w:rsidRDefault="003514D5" w:rsidP="003514D5">
      <w:pPr>
        <w:jc w:val="both"/>
        <w:rPr>
          <w:b/>
          <w:bCs/>
        </w:rPr>
      </w:pPr>
      <w:r w:rsidRPr="003514D5">
        <w:rPr>
          <w:b/>
          <w:bCs/>
        </w:rPr>
        <w:t>Number of requests (01/01/2021 – 31/12/2021 – 503 applications</w:t>
      </w:r>
    </w:p>
    <w:p w14:paraId="68396664" w14:textId="662F05BC" w:rsidR="003514D5" w:rsidRPr="003514D5" w:rsidRDefault="003514D5" w:rsidP="003514D5">
      <w:pPr>
        <w:jc w:val="both"/>
        <w:rPr>
          <w:b/>
          <w:bCs/>
        </w:rPr>
      </w:pPr>
      <w:r w:rsidRPr="003514D5">
        <w:rPr>
          <w:b/>
          <w:bCs/>
        </w:rPr>
        <w:t>Applications by Gender – Female 499       Male – 4</w:t>
      </w:r>
    </w:p>
    <w:p w14:paraId="7D19FF5D" w14:textId="77777777" w:rsidR="003514D5" w:rsidRPr="003514D5" w:rsidRDefault="003514D5" w:rsidP="003514D5">
      <w:pPr>
        <w:jc w:val="both"/>
        <w:rPr>
          <w:b/>
          <w:bCs/>
        </w:rPr>
      </w:pPr>
      <w:r w:rsidRPr="003514D5">
        <w:rPr>
          <w:b/>
          <w:bCs/>
        </w:rPr>
        <w:t xml:space="preserve">RTA applications - 218              </w:t>
      </w:r>
    </w:p>
    <w:p w14:paraId="69668858" w14:textId="77777777" w:rsidR="003514D5" w:rsidRPr="003514D5" w:rsidRDefault="003514D5" w:rsidP="003514D5">
      <w:pPr>
        <w:jc w:val="both"/>
        <w:rPr>
          <w:b/>
          <w:bCs/>
        </w:rPr>
      </w:pPr>
      <w:r w:rsidRPr="003514D5">
        <w:rPr>
          <w:b/>
          <w:bCs/>
        </w:rPr>
        <w:t>RTK applications - 285</w:t>
      </w:r>
    </w:p>
    <w:p w14:paraId="1D899806" w14:textId="77777777" w:rsidR="003514D5" w:rsidRDefault="003514D5" w:rsidP="003514D5">
      <w:pPr>
        <w:jc w:val="both"/>
      </w:pPr>
    </w:p>
    <w:p w14:paraId="4299E1EA" w14:textId="77777777" w:rsidR="003514D5" w:rsidRDefault="003514D5" w:rsidP="003514D5">
      <w:pPr>
        <w:jc w:val="both"/>
      </w:pPr>
    </w:p>
    <w:p w14:paraId="1871E16A" w14:textId="77777777" w:rsidR="00D0788D" w:rsidRDefault="00D0788D" w:rsidP="003514D5">
      <w:pPr>
        <w:jc w:val="both"/>
        <w:rPr>
          <w:b/>
          <w:bCs/>
          <w:i/>
          <w:iCs/>
        </w:rPr>
      </w:pPr>
    </w:p>
    <w:p w14:paraId="61348834" w14:textId="26D18240" w:rsidR="00D0788D" w:rsidRPr="00171E95" w:rsidRDefault="00D0788D" w:rsidP="00D0788D">
      <w:pPr>
        <w:jc w:val="both"/>
        <w:rPr>
          <w:rFonts w:cs="Arial"/>
        </w:rPr>
      </w:pPr>
      <w:r w:rsidRPr="00171E95">
        <w:rPr>
          <w:rFonts w:eastAsia="Times New Roman" w:cs="Arial"/>
          <w:color w:val="000000"/>
        </w:rPr>
        <w:t xml:space="preserve">Unfortunately, we </w:t>
      </w:r>
      <w:r>
        <w:rPr>
          <w:rFonts w:eastAsia="Times New Roman" w:cs="Arial"/>
          <w:color w:val="000000"/>
        </w:rPr>
        <w:t>are unable to provide age and ethnicity,</w:t>
      </w:r>
      <w:r w:rsidRPr="00171E95">
        <w:rPr>
          <w:rFonts w:eastAsia="Times New Roman" w:cs="Arial"/>
          <w:color w:val="000000"/>
        </w:rPr>
        <w:t xml:space="preserve"> as it will exceed the 18-hour time limit to complete a request. </w:t>
      </w:r>
      <w:r>
        <w:t xml:space="preserve">Using the </w:t>
      </w:r>
      <w:r>
        <w:t>spreadsheet,</w:t>
      </w:r>
      <w:r>
        <w:t xml:space="preserve"> we </w:t>
      </w:r>
      <w:proofErr w:type="gramStart"/>
      <w:r>
        <w:t>are able to</w:t>
      </w:r>
      <w:proofErr w:type="gramEnd"/>
      <w:r>
        <w:t xml:space="preserve"> work out</w:t>
      </w:r>
      <w:r>
        <w:t xml:space="preserve"> the </w:t>
      </w:r>
      <w:r>
        <w:t xml:space="preserve">gender. For age and ethnicity each individual case would have to be crossed referenced </w:t>
      </w:r>
      <w:r>
        <w:t>on</w:t>
      </w:r>
      <w:r>
        <w:t xml:space="preserve"> NICHE (over 500 cases)</w:t>
      </w:r>
      <w:r w:rsidRPr="00171E95">
        <w:rPr>
          <w:rFonts w:cs="Arial"/>
        </w:rPr>
        <w:t xml:space="preserve">. </w:t>
      </w:r>
      <w:r>
        <w:rPr>
          <w:rFonts w:cs="Arial"/>
        </w:rPr>
        <w:t xml:space="preserve"> </w:t>
      </w:r>
      <w:r w:rsidRPr="00171E95">
        <w:rPr>
          <w:rFonts w:cs="Arial"/>
        </w:rPr>
        <w:t xml:space="preserve">It would take approximately </w:t>
      </w:r>
      <w:r>
        <w:rPr>
          <w:rFonts w:cs="Arial"/>
        </w:rPr>
        <w:t xml:space="preserve">five minutes </w:t>
      </w:r>
      <w:r w:rsidRPr="00171E95">
        <w:rPr>
          <w:rFonts w:cs="Arial"/>
        </w:rPr>
        <w:t xml:space="preserve">to review each individual record, which would equate to </w:t>
      </w:r>
      <w:r w:rsidRPr="00D0788D">
        <w:rPr>
          <w:rFonts w:cs="Arial"/>
          <w:bCs/>
        </w:rPr>
        <w:t>4</w:t>
      </w:r>
      <w:r w:rsidRPr="00D0788D">
        <w:rPr>
          <w:rFonts w:cs="Arial"/>
          <w:bCs/>
        </w:rPr>
        <w:t>1</w:t>
      </w:r>
      <w:r w:rsidRPr="00D0788D">
        <w:rPr>
          <w:rFonts w:cs="Arial"/>
          <w:bCs/>
        </w:rPr>
        <w:t xml:space="preserve"> hours</w:t>
      </w:r>
      <w:r w:rsidRPr="00171E95">
        <w:rPr>
          <w:rFonts w:cs="Arial"/>
        </w:rPr>
        <w:t xml:space="preserve"> of research. Therefore, a Section 12 Excess Cost exemption has been applied. </w:t>
      </w:r>
    </w:p>
    <w:p w14:paraId="375A2468" w14:textId="77777777" w:rsidR="00D0788D" w:rsidRDefault="00D0788D" w:rsidP="00D0788D">
      <w:pPr>
        <w:jc w:val="both"/>
        <w:rPr>
          <w:rFonts w:cs="Arial"/>
          <w:b/>
          <w:u w:val="single"/>
        </w:rPr>
      </w:pPr>
    </w:p>
    <w:p w14:paraId="18338ABE" w14:textId="261A6173" w:rsidR="00D0788D" w:rsidRDefault="00D0788D" w:rsidP="00D0788D">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5D193624" w14:textId="77777777" w:rsidR="00D0788D" w:rsidRPr="00DA554D" w:rsidRDefault="00D0788D" w:rsidP="00D0788D">
      <w:pPr>
        <w:jc w:val="both"/>
        <w:rPr>
          <w:rFonts w:cs="Arial"/>
          <w:b/>
          <w:u w:val="single"/>
        </w:rPr>
      </w:pPr>
    </w:p>
    <w:p w14:paraId="0C5E5027" w14:textId="2B3EFA37" w:rsidR="00D0788D" w:rsidRDefault="00D0788D" w:rsidP="00D0788D">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2A11E27A" w14:textId="77777777" w:rsidR="00D0788D" w:rsidRPr="00DA554D" w:rsidRDefault="00D0788D" w:rsidP="00D0788D">
      <w:pPr>
        <w:jc w:val="both"/>
        <w:rPr>
          <w:rFonts w:cs="Arial"/>
        </w:rPr>
      </w:pPr>
    </w:p>
    <w:p w14:paraId="19359354" w14:textId="0B2A3BA3" w:rsidR="00D0788D" w:rsidRDefault="00D0788D" w:rsidP="00D0788D">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6E3EA378" w14:textId="77777777" w:rsidR="00D0788D" w:rsidRPr="00DA554D" w:rsidRDefault="00D0788D" w:rsidP="00D0788D">
      <w:pPr>
        <w:jc w:val="both"/>
        <w:rPr>
          <w:rFonts w:cs="Arial"/>
        </w:rPr>
      </w:pPr>
    </w:p>
    <w:p w14:paraId="3761C8F8" w14:textId="7F43C766" w:rsidR="00D0788D" w:rsidRPr="00DA554D" w:rsidRDefault="00D0788D" w:rsidP="00D0788D">
      <w:pPr>
        <w:jc w:val="both"/>
        <w:rPr>
          <w:rFonts w:cs="Arial"/>
        </w:rPr>
      </w:pPr>
      <w:r w:rsidRPr="00DA554D">
        <w:rPr>
          <w:rFonts w:cs="Arial"/>
        </w:rPr>
        <w:t>In the case of a police force, the appropriate limit is set at £450, which is calculated at £25 per hour (i.e.</w:t>
      </w:r>
      <w:r>
        <w:rPr>
          <w:rFonts w:cs="Arial"/>
        </w:rPr>
        <w:t>,</w:t>
      </w:r>
      <w:r w:rsidRPr="00DA554D">
        <w:rPr>
          <w:rFonts w:cs="Arial"/>
        </w:rPr>
        <w:t xml:space="preserve"> 18 hours). Gwent Police would have to conduct a manual search to find and extract the information for this question. This would take more than 18 hours of staff time therefore we are unable to answer this question and the exemption is engaged.</w:t>
      </w:r>
    </w:p>
    <w:p w14:paraId="2CDE24BF" w14:textId="77777777" w:rsidR="00D0788D" w:rsidRPr="003514D5" w:rsidRDefault="00D0788D" w:rsidP="003514D5">
      <w:pPr>
        <w:jc w:val="both"/>
        <w:rPr>
          <w:b/>
          <w:bCs/>
          <w:i/>
          <w:iCs/>
        </w:rPr>
      </w:pPr>
    </w:p>
    <w:p w14:paraId="18546422" w14:textId="77777777" w:rsidR="008D19BE" w:rsidRPr="008D19BE" w:rsidRDefault="008D19BE" w:rsidP="00437C62">
      <w:pPr>
        <w:rPr>
          <w:color w:val="000000" w:themeColor="text1"/>
        </w:rPr>
      </w:pPr>
    </w:p>
    <w:p w14:paraId="63325DFC" w14:textId="77777777" w:rsidR="002E49DD" w:rsidRDefault="002E49DD" w:rsidP="002E49DD">
      <w:pPr>
        <w:jc w:val="both"/>
      </w:pPr>
      <w:r>
        <w:t xml:space="preserve">2)  During the period 1st January 2021 up to and including 31st December 2021 please provide the </w:t>
      </w:r>
      <w:r>
        <w:rPr>
          <w:b/>
          <w:bCs/>
        </w:rPr>
        <w:t xml:space="preserve">Gender </w:t>
      </w:r>
      <w:r>
        <w:t xml:space="preserve">of the person making the enquiry regarding their current partner and/or the person making the enquiry directly on behalf of the person at risk.  </w:t>
      </w:r>
    </w:p>
    <w:p w14:paraId="1E4C7DD7" w14:textId="77777777" w:rsidR="002E49DD" w:rsidRDefault="002E49DD" w:rsidP="002E49DD">
      <w:pPr>
        <w:jc w:val="both"/>
      </w:pPr>
    </w:p>
    <w:p w14:paraId="77846D28" w14:textId="6C958377" w:rsidR="002E49DD" w:rsidRPr="002E49DD" w:rsidRDefault="002E49DD" w:rsidP="002E49DD">
      <w:pPr>
        <w:jc w:val="both"/>
        <w:rPr>
          <w:b/>
          <w:bCs/>
        </w:rPr>
      </w:pPr>
      <w:r w:rsidRPr="002E49DD">
        <w:rPr>
          <w:b/>
          <w:bCs/>
        </w:rPr>
        <w:t>Applications by Gender for a Female is 499 and for Male’s is 4</w:t>
      </w:r>
    </w:p>
    <w:p w14:paraId="2E5C7F62" w14:textId="77777777" w:rsidR="002E49DD" w:rsidRPr="002E49DD" w:rsidRDefault="002E49DD" w:rsidP="002E49DD">
      <w:pPr>
        <w:jc w:val="both"/>
        <w:rPr>
          <w:b/>
          <w:bCs/>
        </w:rPr>
      </w:pPr>
    </w:p>
    <w:p w14:paraId="2D8FA327" w14:textId="77777777" w:rsidR="002E49DD" w:rsidRPr="002E49DD" w:rsidRDefault="002E49DD" w:rsidP="002E49DD">
      <w:pPr>
        <w:jc w:val="both"/>
        <w:rPr>
          <w:b/>
          <w:bCs/>
        </w:rPr>
      </w:pPr>
      <w:r w:rsidRPr="002E49DD">
        <w:rPr>
          <w:b/>
          <w:bCs/>
        </w:rPr>
        <w:t>Applications by Gender of referrer for male applications - Female: 3   Male: 0     Unknown 1</w:t>
      </w:r>
    </w:p>
    <w:p w14:paraId="085E2623" w14:textId="2B970E98" w:rsidR="00A75893" w:rsidRDefault="00A75893" w:rsidP="009D05E0">
      <w:pPr>
        <w:rPr>
          <w:color w:val="000000" w:themeColor="text1"/>
        </w:rPr>
      </w:pPr>
    </w:p>
    <w:p w14:paraId="58E86081" w14:textId="77777777" w:rsidR="008D19BE" w:rsidRPr="008D19BE" w:rsidRDefault="008D19BE" w:rsidP="002E49DD">
      <w:pPr>
        <w:pBdr>
          <w:bottom w:val="single" w:sz="4" w:space="1" w:color="auto"/>
        </w:pBdr>
        <w:rPr>
          <w:color w:val="000000" w:themeColor="text1"/>
        </w:rPr>
      </w:pPr>
    </w:p>
    <w:p w14:paraId="2A0CBC66" w14:textId="77777777" w:rsidR="002E49DD" w:rsidRDefault="002E49DD" w:rsidP="002F467F">
      <w:pPr>
        <w:jc w:val="both"/>
        <w:rPr>
          <w:color w:val="000000" w:themeColor="text1"/>
        </w:rPr>
      </w:pPr>
    </w:p>
    <w:p w14:paraId="72324E60" w14:textId="4DE37502"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B1A4" w14:textId="77777777" w:rsidR="00451BB7" w:rsidRDefault="0045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6DF5" w14:textId="77777777" w:rsidR="00451BB7" w:rsidRDefault="0045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1622" w14:textId="77777777" w:rsidR="00451BB7" w:rsidRDefault="00451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72C1" w14:textId="77777777" w:rsidR="00451BB7" w:rsidRDefault="00451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E49DD"/>
    <w:rsid w:val="002F467F"/>
    <w:rsid w:val="003514D5"/>
    <w:rsid w:val="003D048B"/>
    <w:rsid w:val="003F5698"/>
    <w:rsid w:val="00434A7E"/>
    <w:rsid w:val="00437C62"/>
    <w:rsid w:val="00451BB7"/>
    <w:rsid w:val="00471710"/>
    <w:rsid w:val="00487A82"/>
    <w:rsid w:val="005C3D07"/>
    <w:rsid w:val="00666793"/>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0788D"/>
    <w:rsid w:val="00D37813"/>
    <w:rsid w:val="00D5309E"/>
    <w:rsid w:val="00D73277"/>
    <w:rsid w:val="00D85FF8"/>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51112">
      <w:bodyDiv w:val="1"/>
      <w:marLeft w:val="0"/>
      <w:marRight w:val="0"/>
      <w:marTop w:val="0"/>
      <w:marBottom w:val="0"/>
      <w:divBdr>
        <w:top w:val="none" w:sz="0" w:space="0" w:color="auto"/>
        <w:left w:val="none" w:sz="0" w:space="0" w:color="auto"/>
        <w:bottom w:val="none" w:sz="0" w:space="0" w:color="auto"/>
        <w:right w:val="none" w:sz="0" w:space="0" w:color="auto"/>
      </w:divBdr>
    </w:div>
    <w:div w:id="1101410657">
      <w:bodyDiv w:val="1"/>
      <w:marLeft w:val="0"/>
      <w:marRight w:val="0"/>
      <w:marTop w:val="0"/>
      <w:marBottom w:val="0"/>
      <w:divBdr>
        <w:top w:val="none" w:sz="0" w:space="0" w:color="auto"/>
        <w:left w:val="none" w:sz="0" w:space="0" w:color="auto"/>
        <w:bottom w:val="none" w:sz="0" w:space="0" w:color="auto"/>
        <w:right w:val="none" w:sz="0" w:space="0" w:color="auto"/>
      </w:divBdr>
    </w:div>
    <w:div w:id="14838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36</cp:revision>
  <dcterms:created xsi:type="dcterms:W3CDTF">2020-09-10T12:36:00Z</dcterms:created>
  <dcterms:modified xsi:type="dcterms:W3CDTF">2022-02-01T13:01:00Z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