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49F6B110"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536B06" w:rsidRPr="00536B06">
        <w:rPr>
          <w:b/>
          <w:bCs/>
          <w:color w:val="000000" w:themeColor="text1"/>
        </w:rPr>
        <w:t>24947</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5482B2BF" w:rsidR="008D19BE" w:rsidRDefault="008D19BE" w:rsidP="008D19BE">
      <w:pPr>
        <w:rPr>
          <w:b/>
          <w:bCs/>
          <w:color w:val="000000" w:themeColor="text1"/>
        </w:rPr>
      </w:pPr>
      <w:r w:rsidRPr="008D19BE">
        <w:rPr>
          <w:b/>
          <w:bCs/>
          <w:color w:val="000000" w:themeColor="text1"/>
        </w:rPr>
        <w:t>REQUEST</w:t>
      </w:r>
    </w:p>
    <w:p w14:paraId="35102F37" w14:textId="77777777" w:rsidR="001945CF" w:rsidRPr="008D19BE" w:rsidRDefault="001945CF" w:rsidP="008D19BE">
      <w:pPr>
        <w:rPr>
          <w:b/>
          <w:bCs/>
          <w:color w:val="000000" w:themeColor="text1"/>
        </w:rPr>
      </w:pPr>
    </w:p>
    <w:p w14:paraId="5FC26829" w14:textId="77777777" w:rsidR="001945CF" w:rsidRPr="001945CF" w:rsidRDefault="001945CF" w:rsidP="001945CF">
      <w:pPr>
        <w:jc w:val="both"/>
        <w:rPr>
          <w:color w:val="000000" w:themeColor="text1"/>
        </w:rPr>
      </w:pPr>
      <w:r w:rsidRPr="001945CF">
        <w:rPr>
          <w:color w:val="000000" w:themeColor="text1"/>
        </w:rPr>
        <w:t>I am writing to make a request under the Freedom of Information Act 2000.</w:t>
      </w:r>
    </w:p>
    <w:p w14:paraId="4022E59B" w14:textId="77777777" w:rsidR="001945CF" w:rsidRPr="001945CF" w:rsidRDefault="001945CF" w:rsidP="001945CF">
      <w:pPr>
        <w:jc w:val="both"/>
        <w:rPr>
          <w:color w:val="000000" w:themeColor="text1"/>
        </w:rPr>
      </w:pPr>
    </w:p>
    <w:p w14:paraId="15CF36B0" w14:textId="77777777" w:rsidR="001945CF" w:rsidRPr="001945CF" w:rsidRDefault="001945CF" w:rsidP="001945CF">
      <w:pPr>
        <w:jc w:val="both"/>
        <w:rPr>
          <w:color w:val="000000" w:themeColor="text1"/>
        </w:rPr>
      </w:pPr>
      <w:r w:rsidRPr="001945CF">
        <w:rPr>
          <w:color w:val="000000" w:themeColor="text1"/>
        </w:rPr>
        <w:t>Please can you provide the following information for the calendar years 2015, 2016, 2017, 2018, 2019, 2020 and 2021:</w:t>
      </w:r>
    </w:p>
    <w:p w14:paraId="4971CD70" w14:textId="77777777" w:rsidR="001945CF" w:rsidRPr="001945CF" w:rsidRDefault="001945CF" w:rsidP="001945CF">
      <w:pPr>
        <w:jc w:val="both"/>
        <w:rPr>
          <w:color w:val="000000" w:themeColor="text1"/>
        </w:rPr>
      </w:pPr>
    </w:p>
    <w:p w14:paraId="2DE310D0" w14:textId="77777777" w:rsidR="001945CF" w:rsidRPr="001945CF" w:rsidRDefault="001945CF" w:rsidP="001945CF">
      <w:pPr>
        <w:jc w:val="both"/>
        <w:rPr>
          <w:color w:val="000000" w:themeColor="text1"/>
        </w:rPr>
      </w:pPr>
      <w:r w:rsidRPr="001945CF">
        <w:rPr>
          <w:color w:val="000000" w:themeColor="text1"/>
        </w:rPr>
        <w:t>•</w:t>
      </w:r>
      <w:r w:rsidRPr="001945CF">
        <w:rPr>
          <w:color w:val="000000" w:themeColor="text1"/>
        </w:rPr>
        <w:tab/>
        <w:t>The number of “revenge porn” crimes – 008/71, disclosure of private sexual photographs and films with intent to cause distress – logged by the force in each year</w:t>
      </w:r>
    </w:p>
    <w:p w14:paraId="7B08CE35" w14:textId="77777777" w:rsidR="001945CF" w:rsidRPr="001945CF" w:rsidRDefault="001945CF" w:rsidP="001945CF">
      <w:pPr>
        <w:jc w:val="both"/>
        <w:rPr>
          <w:color w:val="000000" w:themeColor="text1"/>
        </w:rPr>
      </w:pPr>
      <w:r w:rsidRPr="001945CF">
        <w:rPr>
          <w:color w:val="000000" w:themeColor="text1"/>
        </w:rPr>
        <w:t>- Of these, how many fell into the following victim age groups: under 18, 18 to 25, 26 to 29, 30 to 39, 40 to 49, 50 and over</w:t>
      </w:r>
    </w:p>
    <w:p w14:paraId="1BDBAE82" w14:textId="77777777" w:rsidR="001945CF" w:rsidRPr="001945CF" w:rsidRDefault="001945CF" w:rsidP="001945CF">
      <w:pPr>
        <w:jc w:val="both"/>
        <w:rPr>
          <w:color w:val="000000" w:themeColor="text1"/>
        </w:rPr>
      </w:pPr>
      <w:r w:rsidRPr="001945CF">
        <w:rPr>
          <w:color w:val="000000" w:themeColor="text1"/>
        </w:rPr>
        <w:t>- How many had a type 1 outcome (“Charge / Summons”)</w:t>
      </w:r>
    </w:p>
    <w:p w14:paraId="55C27064" w14:textId="77777777" w:rsidR="001945CF" w:rsidRPr="001945CF" w:rsidRDefault="001945CF" w:rsidP="001945CF">
      <w:pPr>
        <w:jc w:val="both"/>
        <w:rPr>
          <w:color w:val="000000" w:themeColor="text1"/>
        </w:rPr>
      </w:pPr>
      <w:r w:rsidRPr="001945CF">
        <w:rPr>
          <w:color w:val="000000" w:themeColor="text1"/>
        </w:rPr>
        <w:t>- How many had a type 14 outcome (“Evidential difficulties: suspect not identified; victim does not support further action”)</w:t>
      </w:r>
    </w:p>
    <w:p w14:paraId="1F5E8AE4" w14:textId="77777777" w:rsidR="001945CF" w:rsidRPr="001945CF" w:rsidRDefault="001945CF" w:rsidP="001945CF">
      <w:pPr>
        <w:jc w:val="both"/>
        <w:rPr>
          <w:color w:val="000000" w:themeColor="text1"/>
        </w:rPr>
      </w:pPr>
      <w:r w:rsidRPr="001945CF">
        <w:rPr>
          <w:color w:val="000000" w:themeColor="text1"/>
        </w:rPr>
        <w:t>- How many had a type 15 outcome (Evidential difficulties: suspect identified; victim supports action”)</w:t>
      </w:r>
    </w:p>
    <w:p w14:paraId="2A95A64D" w14:textId="09030926" w:rsidR="008D19BE" w:rsidRDefault="001945CF" w:rsidP="001945CF">
      <w:pPr>
        <w:jc w:val="both"/>
        <w:rPr>
          <w:color w:val="000000" w:themeColor="text1"/>
        </w:rPr>
      </w:pPr>
      <w:r w:rsidRPr="001945CF">
        <w:rPr>
          <w:color w:val="000000" w:themeColor="text1"/>
        </w:rPr>
        <w:t>- How many had a type 16 outcome (“Evidential difficulties: suspect identified; victim does not support further action”)</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33533D5" w14:textId="4AB28A00" w:rsidR="002874CE" w:rsidRPr="002874CE" w:rsidRDefault="002874CE" w:rsidP="002874CE">
      <w:pPr>
        <w:jc w:val="both"/>
        <w:rPr>
          <w:b/>
          <w:bCs/>
          <w:color w:val="000000" w:themeColor="text1"/>
        </w:rPr>
      </w:pPr>
      <w:r w:rsidRPr="002874CE">
        <w:rPr>
          <w:b/>
          <w:bCs/>
          <w:color w:val="000000" w:themeColor="text1"/>
        </w:rPr>
        <w:t xml:space="preserve">We </w:t>
      </w:r>
      <w:r w:rsidRPr="002874CE">
        <w:rPr>
          <w:b/>
          <w:bCs/>
          <w:color w:val="000000" w:themeColor="text1"/>
        </w:rPr>
        <w:t>can only provide data from 2017 onwards.</w:t>
      </w:r>
    </w:p>
    <w:p w14:paraId="7B122135" w14:textId="77777777" w:rsidR="002874CE" w:rsidRPr="001945CF" w:rsidRDefault="002874CE" w:rsidP="002874CE">
      <w:pPr>
        <w:jc w:val="both"/>
        <w:rPr>
          <w:color w:val="000000" w:themeColor="text1"/>
        </w:rPr>
      </w:pPr>
    </w:p>
    <w:p w14:paraId="0190DC41" w14:textId="77777777" w:rsidR="002874CE" w:rsidRDefault="002874CE" w:rsidP="002874CE">
      <w:pPr>
        <w:jc w:val="both"/>
        <w:rPr>
          <w:color w:val="000000" w:themeColor="text1"/>
        </w:rPr>
      </w:pPr>
      <w:r w:rsidRPr="001945CF">
        <w:rPr>
          <w:color w:val="000000" w:themeColor="text1"/>
        </w:rPr>
        <w:t>•</w:t>
      </w:r>
      <w:r w:rsidRPr="001945CF">
        <w:rPr>
          <w:color w:val="000000" w:themeColor="text1"/>
        </w:rPr>
        <w:tab/>
        <w:t>The number of “revenge porn” crimes – 008/71, disclosure of private sexual photographs and films with intent to cause distress – logged by the force in each year</w:t>
      </w:r>
    </w:p>
    <w:p w14:paraId="2D5E4F9A" w14:textId="77777777" w:rsidR="002874CE" w:rsidRDefault="002874CE" w:rsidP="002874CE">
      <w:pPr>
        <w:jc w:val="both"/>
        <w:rPr>
          <w:color w:val="000000" w:themeColor="text1"/>
        </w:rPr>
      </w:pPr>
    </w:p>
    <w:p w14:paraId="1620A44F" w14:textId="77777777" w:rsidR="002874CE" w:rsidRPr="002874CE" w:rsidRDefault="002874CE" w:rsidP="002874CE">
      <w:pPr>
        <w:jc w:val="both"/>
        <w:rPr>
          <w:b/>
          <w:bCs/>
        </w:rPr>
      </w:pPr>
      <w:r w:rsidRPr="002874CE">
        <w:rPr>
          <w:b/>
          <w:bCs/>
        </w:rPr>
        <w:t xml:space="preserve">There were 271 offences recorded from 2017 – 2021 an offence title of, ‘DISCLOSE PRIVATE SEXUAL PHOTOGRAPHS AND FILMS WITH INTENT TO </w:t>
      </w:r>
      <w:r w:rsidRPr="002874CE">
        <w:rPr>
          <w:b/>
          <w:bCs/>
        </w:rPr>
        <w:lastRenderedPageBreak/>
        <w:t xml:space="preserve">CAUSE DISTRESS. CRIMINAL JUSTICE AND COURTS ACT 2015 SEC 33 (1) &amp; (9)’. This information is based off recorded date. </w:t>
      </w:r>
    </w:p>
    <w:p w14:paraId="7D4C361C" w14:textId="77777777" w:rsidR="002874CE" w:rsidRPr="001945CF" w:rsidRDefault="002874CE" w:rsidP="002874CE">
      <w:pPr>
        <w:jc w:val="both"/>
        <w:rPr>
          <w:color w:val="000000" w:themeColor="text1"/>
        </w:rPr>
      </w:pPr>
    </w:p>
    <w:p w14:paraId="6FC4DCB3" w14:textId="77777777" w:rsidR="002874CE" w:rsidRDefault="002874CE" w:rsidP="002874CE">
      <w:pPr>
        <w:jc w:val="both"/>
        <w:rPr>
          <w:color w:val="000000" w:themeColor="text1"/>
        </w:rPr>
      </w:pPr>
      <w:r w:rsidRPr="001945CF">
        <w:rPr>
          <w:color w:val="000000" w:themeColor="text1"/>
        </w:rPr>
        <w:t>- Of these, how many fell into the following victim age groups: under 18, 18 to 25, 26 to 29, 30 to 39, 40 to 49, 50 and over</w:t>
      </w:r>
    </w:p>
    <w:p w14:paraId="6E539F4F" w14:textId="77777777" w:rsidR="002874CE" w:rsidRDefault="002874CE" w:rsidP="002874CE">
      <w:pPr>
        <w:jc w:val="both"/>
        <w:rPr>
          <w:color w:val="000000" w:themeColor="text1"/>
        </w:rPr>
      </w:pPr>
    </w:p>
    <w:p w14:paraId="19138347" w14:textId="77777777" w:rsidR="002874CE" w:rsidRPr="002874CE" w:rsidRDefault="002874CE" w:rsidP="002874CE">
      <w:pPr>
        <w:jc w:val="both"/>
        <w:rPr>
          <w:b/>
          <w:bCs/>
          <w:color w:val="000000" w:themeColor="text1"/>
        </w:rPr>
      </w:pPr>
      <w:r w:rsidRPr="002874CE">
        <w:rPr>
          <w:b/>
          <w:bCs/>
          <w:color w:val="000000" w:themeColor="text1"/>
        </w:rPr>
        <w:t xml:space="preserve">The below table shows the age range of identified victims. </w:t>
      </w:r>
    </w:p>
    <w:p w14:paraId="1C9FEBB9" w14:textId="77777777" w:rsidR="002874CE" w:rsidRDefault="002874CE" w:rsidP="002874CE">
      <w:pPr>
        <w:jc w:val="both"/>
        <w:rPr>
          <w:color w:val="000000" w:themeColor="text1"/>
        </w:rPr>
      </w:pPr>
    </w:p>
    <w:tbl>
      <w:tblPr>
        <w:tblW w:w="3100" w:type="dxa"/>
        <w:tblLook w:val="04A0" w:firstRow="1" w:lastRow="0" w:firstColumn="1" w:lastColumn="0" w:noHBand="0" w:noVBand="1"/>
      </w:tblPr>
      <w:tblGrid>
        <w:gridCol w:w="1500"/>
        <w:gridCol w:w="1600"/>
      </w:tblGrid>
      <w:tr w:rsidR="002874CE" w:rsidRPr="000D3200" w14:paraId="062F240F" w14:textId="77777777" w:rsidTr="00D33A0F">
        <w:trPr>
          <w:trHeight w:val="255"/>
        </w:trPr>
        <w:tc>
          <w:tcPr>
            <w:tcW w:w="1500" w:type="dxa"/>
            <w:tcBorders>
              <w:top w:val="single" w:sz="4" w:space="0" w:color="999999"/>
              <w:left w:val="single" w:sz="4" w:space="0" w:color="999999"/>
              <w:bottom w:val="nil"/>
              <w:right w:val="nil"/>
            </w:tcBorders>
            <w:shd w:val="clear" w:color="000000" w:fill="BFBFBF"/>
            <w:noWrap/>
            <w:vAlign w:val="bottom"/>
            <w:hideMark/>
          </w:tcPr>
          <w:p w14:paraId="3E22E323" w14:textId="77777777" w:rsidR="002874CE" w:rsidRPr="000D3200" w:rsidRDefault="002874CE" w:rsidP="00D33A0F">
            <w:pPr>
              <w:jc w:val="center"/>
              <w:rPr>
                <w:rFonts w:eastAsia="Times New Roman" w:cs="Arial"/>
                <w:b/>
                <w:bCs/>
                <w:sz w:val="20"/>
                <w:szCs w:val="20"/>
                <w:lang w:eastAsia="en-GB"/>
              </w:rPr>
            </w:pPr>
            <w:r w:rsidRPr="000D3200">
              <w:rPr>
                <w:rFonts w:eastAsia="Times New Roman" w:cs="Arial"/>
                <w:b/>
                <w:bCs/>
                <w:sz w:val="20"/>
                <w:szCs w:val="20"/>
                <w:lang w:eastAsia="en-GB"/>
              </w:rPr>
              <w:t>Age Range</w:t>
            </w:r>
          </w:p>
        </w:tc>
        <w:tc>
          <w:tcPr>
            <w:tcW w:w="1600" w:type="dxa"/>
            <w:tcBorders>
              <w:top w:val="single" w:sz="4" w:space="0" w:color="999999"/>
              <w:left w:val="single" w:sz="4" w:space="0" w:color="999999"/>
              <w:bottom w:val="nil"/>
              <w:right w:val="single" w:sz="4" w:space="0" w:color="999999"/>
            </w:tcBorders>
            <w:shd w:val="clear" w:color="000000" w:fill="BFBFBF"/>
            <w:noWrap/>
            <w:vAlign w:val="bottom"/>
            <w:hideMark/>
          </w:tcPr>
          <w:p w14:paraId="5B7081C4" w14:textId="77777777" w:rsidR="002874CE" w:rsidRPr="000D3200" w:rsidRDefault="002874CE" w:rsidP="00D33A0F">
            <w:pPr>
              <w:jc w:val="center"/>
              <w:rPr>
                <w:rFonts w:eastAsia="Times New Roman" w:cs="Arial"/>
                <w:b/>
                <w:bCs/>
                <w:sz w:val="20"/>
                <w:szCs w:val="20"/>
                <w:lang w:eastAsia="en-GB"/>
              </w:rPr>
            </w:pPr>
            <w:r w:rsidRPr="000D3200">
              <w:rPr>
                <w:rFonts w:eastAsia="Times New Roman" w:cs="Arial"/>
                <w:b/>
                <w:bCs/>
                <w:sz w:val="20"/>
                <w:szCs w:val="20"/>
                <w:lang w:eastAsia="en-GB"/>
              </w:rPr>
              <w:t>Total offences</w:t>
            </w:r>
          </w:p>
        </w:tc>
      </w:tr>
      <w:tr w:rsidR="002874CE" w:rsidRPr="000D3200" w14:paraId="5620D7BB" w14:textId="77777777" w:rsidTr="00D33A0F">
        <w:trPr>
          <w:trHeight w:val="255"/>
        </w:trPr>
        <w:tc>
          <w:tcPr>
            <w:tcW w:w="1500" w:type="dxa"/>
            <w:tcBorders>
              <w:top w:val="single" w:sz="4" w:space="0" w:color="999999"/>
              <w:left w:val="single" w:sz="4" w:space="0" w:color="999999"/>
              <w:bottom w:val="nil"/>
              <w:right w:val="nil"/>
            </w:tcBorders>
            <w:shd w:val="clear" w:color="auto" w:fill="auto"/>
            <w:noWrap/>
            <w:vAlign w:val="bottom"/>
            <w:hideMark/>
          </w:tcPr>
          <w:p w14:paraId="5986FD7C"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0 - 17 years</w:t>
            </w:r>
          </w:p>
        </w:tc>
        <w:tc>
          <w:tcPr>
            <w:tcW w:w="1600" w:type="dxa"/>
            <w:tcBorders>
              <w:top w:val="single" w:sz="4" w:space="0" w:color="999999"/>
              <w:left w:val="single" w:sz="4" w:space="0" w:color="999999"/>
              <w:bottom w:val="nil"/>
              <w:right w:val="single" w:sz="4" w:space="0" w:color="999999"/>
            </w:tcBorders>
            <w:shd w:val="clear" w:color="auto" w:fill="auto"/>
            <w:noWrap/>
            <w:vAlign w:val="bottom"/>
            <w:hideMark/>
          </w:tcPr>
          <w:p w14:paraId="2AB75411"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25</w:t>
            </w:r>
          </w:p>
        </w:tc>
      </w:tr>
      <w:tr w:rsidR="002874CE" w:rsidRPr="000D3200" w14:paraId="28347C34" w14:textId="77777777" w:rsidTr="00D33A0F">
        <w:trPr>
          <w:trHeight w:val="255"/>
        </w:trPr>
        <w:tc>
          <w:tcPr>
            <w:tcW w:w="1500" w:type="dxa"/>
            <w:tcBorders>
              <w:top w:val="nil"/>
              <w:left w:val="single" w:sz="4" w:space="0" w:color="999999"/>
              <w:bottom w:val="nil"/>
              <w:right w:val="nil"/>
            </w:tcBorders>
            <w:shd w:val="clear" w:color="auto" w:fill="auto"/>
            <w:noWrap/>
            <w:vAlign w:val="bottom"/>
            <w:hideMark/>
          </w:tcPr>
          <w:p w14:paraId="45010CAE"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18 - 25 years</w:t>
            </w:r>
          </w:p>
        </w:tc>
        <w:tc>
          <w:tcPr>
            <w:tcW w:w="1600" w:type="dxa"/>
            <w:tcBorders>
              <w:top w:val="nil"/>
              <w:left w:val="single" w:sz="4" w:space="0" w:color="999999"/>
              <w:bottom w:val="nil"/>
              <w:right w:val="single" w:sz="4" w:space="0" w:color="999999"/>
            </w:tcBorders>
            <w:shd w:val="clear" w:color="auto" w:fill="auto"/>
            <w:noWrap/>
            <w:vAlign w:val="bottom"/>
            <w:hideMark/>
          </w:tcPr>
          <w:p w14:paraId="545050B1"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102</w:t>
            </w:r>
          </w:p>
        </w:tc>
      </w:tr>
      <w:tr w:rsidR="002874CE" w:rsidRPr="000D3200" w14:paraId="4779FCF3" w14:textId="77777777" w:rsidTr="00D33A0F">
        <w:trPr>
          <w:trHeight w:val="255"/>
        </w:trPr>
        <w:tc>
          <w:tcPr>
            <w:tcW w:w="1500" w:type="dxa"/>
            <w:tcBorders>
              <w:top w:val="nil"/>
              <w:left w:val="single" w:sz="4" w:space="0" w:color="999999"/>
              <w:bottom w:val="nil"/>
              <w:right w:val="nil"/>
            </w:tcBorders>
            <w:shd w:val="clear" w:color="auto" w:fill="auto"/>
            <w:noWrap/>
            <w:vAlign w:val="bottom"/>
            <w:hideMark/>
          </w:tcPr>
          <w:p w14:paraId="008DB1EF"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26 - 29 years</w:t>
            </w:r>
          </w:p>
        </w:tc>
        <w:tc>
          <w:tcPr>
            <w:tcW w:w="1600" w:type="dxa"/>
            <w:tcBorders>
              <w:top w:val="nil"/>
              <w:left w:val="single" w:sz="4" w:space="0" w:color="999999"/>
              <w:bottom w:val="nil"/>
              <w:right w:val="single" w:sz="4" w:space="0" w:color="999999"/>
            </w:tcBorders>
            <w:shd w:val="clear" w:color="auto" w:fill="auto"/>
            <w:noWrap/>
            <w:vAlign w:val="bottom"/>
            <w:hideMark/>
          </w:tcPr>
          <w:p w14:paraId="56EFC589"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40</w:t>
            </w:r>
          </w:p>
        </w:tc>
      </w:tr>
      <w:tr w:rsidR="002874CE" w:rsidRPr="000D3200" w14:paraId="76E55DE6" w14:textId="77777777" w:rsidTr="00D33A0F">
        <w:trPr>
          <w:trHeight w:val="255"/>
        </w:trPr>
        <w:tc>
          <w:tcPr>
            <w:tcW w:w="1500" w:type="dxa"/>
            <w:tcBorders>
              <w:top w:val="nil"/>
              <w:left w:val="single" w:sz="4" w:space="0" w:color="999999"/>
              <w:bottom w:val="nil"/>
              <w:right w:val="nil"/>
            </w:tcBorders>
            <w:shd w:val="clear" w:color="auto" w:fill="auto"/>
            <w:noWrap/>
            <w:vAlign w:val="bottom"/>
            <w:hideMark/>
          </w:tcPr>
          <w:p w14:paraId="2DE9D5F6"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30 - 39 years</w:t>
            </w:r>
          </w:p>
        </w:tc>
        <w:tc>
          <w:tcPr>
            <w:tcW w:w="1600" w:type="dxa"/>
            <w:tcBorders>
              <w:top w:val="nil"/>
              <w:left w:val="single" w:sz="4" w:space="0" w:color="999999"/>
              <w:bottom w:val="nil"/>
              <w:right w:val="single" w:sz="4" w:space="0" w:color="999999"/>
            </w:tcBorders>
            <w:shd w:val="clear" w:color="auto" w:fill="auto"/>
            <w:noWrap/>
            <w:vAlign w:val="bottom"/>
            <w:hideMark/>
          </w:tcPr>
          <w:p w14:paraId="7EC2167B"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65</w:t>
            </w:r>
          </w:p>
        </w:tc>
      </w:tr>
      <w:tr w:rsidR="002874CE" w:rsidRPr="000D3200" w14:paraId="237D553E" w14:textId="77777777" w:rsidTr="00D33A0F">
        <w:trPr>
          <w:trHeight w:val="255"/>
        </w:trPr>
        <w:tc>
          <w:tcPr>
            <w:tcW w:w="1500" w:type="dxa"/>
            <w:tcBorders>
              <w:top w:val="nil"/>
              <w:left w:val="single" w:sz="4" w:space="0" w:color="999999"/>
              <w:bottom w:val="nil"/>
              <w:right w:val="nil"/>
            </w:tcBorders>
            <w:shd w:val="clear" w:color="auto" w:fill="auto"/>
            <w:noWrap/>
            <w:vAlign w:val="bottom"/>
            <w:hideMark/>
          </w:tcPr>
          <w:p w14:paraId="58502C13"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40 - 49 years</w:t>
            </w:r>
          </w:p>
        </w:tc>
        <w:tc>
          <w:tcPr>
            <w:tcW w:w="1600" w:type="dxa"/>
            <w:tcBorders>
              <w:top w:val="nil"/>
              <w:left w:val="single" w:sz="4" w:space="0" w:color="999999"/>
              <w:bottom w:val="nil"/>
              <w:right w:val="single" w:sz="4" w:space="0" w:color="999999"/>
            </w:tcBorders>
            <w:shd w:val="clear" w:color="auto" w:fill="auto"/>
            <w:noWrap/>
            <w:vAlign w:val="bottom"/>
            <w:hideMark/>
          </w:tcPr>
          <w:p w14:paraId="16B7C7EC"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26</w:t>
            </w:r>
          </w:p>
        </w:tc>
      </w:tr>
      <w:tr w:rsidR="002874CE" w:rsidRPr="000D3200" w14:paraId="4D7315CC" w14:textId="77777777" w:rsidTr="00D33A0F">
        <w:trPr>
          <w:trHeight w:val="255"/>
        </w:trPr>
        <w:tc>
          <w:tcPr>
            <w:tcW w:w="1500" w:type="dxa"/>
            <w:tcBorders>
              <w:top w:val="nil"/>
              <w:left w:val="single" w:sz="4" w:space="0" w:color="999999"/>
              <w:bottom w:val="nil"/>
              <w:right w:val="nil"/>
            </w:tcBorders>
            <w:shd w:val="clear" w:color="auto" w:fill="auto"/>
            <w:noWrap/>
            <w:vAlign w:val="bottom"/>
            <w:hideMark/>
          </w:tcPr>
          <w:p w14:paraId="1A3C0152"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50 and over</w:t>
            </w:r>
          </w:p>
        </w:tc>
        <w:tc>
          <w:tcPr>
            <w:tcW w:w="1600" w:type="dxa"/>
            <w:tcBorders>
              <w:top w:val="nil"/>
              <w:left w:val="single" w:sz="4" w:space="0" w:color="999999"/>
              <w:bottom w:val="nil"/>
              <w:right w:val="single" w:sz="4" w:space="0" w:color="999999"/>
            </w:tcBorders>
            <w:shd w:val="clear" w:color="auto" w:fill="auto"/>
            <w:noWrap/>
            <w:vAlign w:val="bottom"/>
            <w:hideMark/>
          </w:tcPr>
          <w:p w14:paraId="0B0B5972"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10</w:t>
            </w:r>
          </w:p>
        </w:tc>
      </w:tr>
      <w:tr w:rsidR="002874CE" w:rsidRPr="000D3200" w14:paraId="37811B28" w14:textId="77777777" w:rsidTr="00D33A0F">
        <w:trPr>
          <w:trHeight w:val="255"/>
        </w:trPr>
        <w:tc>
          <w:tcPr>
            <w:tcW w:w="1500" w:type="dxa"/>
            <w:tcBorders>
              <w:top w:val="single" w:sz="4" w:space="0" w:color="999999"/>
              <w:left w:val="single" w:sz="4" w:space="0" w:color="999999"/>
              <w:bottom w:val="single" w:sz="4" w:space="0" w:color="999999"/>
              <w:right w:val="nil"/>
            </w:tcBorders>
            <w:shd w:val="clear" w:color="auto" w:fill="auto"/>
            <w:noWrap/>
            <w:vAlign w:val="bottom"/>
            <w:hideMark/>
          </w:tcPr>
          <w:p w14:paraId="53181377"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Grand Total</w:t>
            </w:r>
          </w:p>
        </w:tc>
        <w:tc>
          <w:tcPr>
            <w:tcW w:w="1600" w:type="dxa"/>
            <w:tcBorders>
              <w:top w:val="single" w:sz="4" w:space="0" w:color="999999"/>
              <w:left w:val="single" w:sz="4" w:space="0" w:color="999999"/>
              <w:bottom w:val="single" w:sz="4" w:space="0" w:color="999999"/>
              <w:right w:val="single" w:sz="4" w:space="0" w:color="999999"/>
            </w:tcBorders>
            <w:shd w:val="clear" w:color="auto" w:fill="auto"/>
            <w:noWrap/>
            <w:vAlign w:val="bottom"/>
            <w:hideMark/>
          </w:tcPr>
          <w:p w14:paraId="5DAFACB2"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268</w:t>
            </w:r>
          </w:p>
        </w:tc>
      </w:tr>
    </w:tbl>
    <w:p w14:paraId="6EFB95FC" w14:textId="77777777" w:rsidR="002874CE" w:rsidRPr="001945CF" w:rsidRDefault="002874CE" w:rsidP="002874CE">
      <w:pPr>
        <w:jc w:val="both"/>
        <w:rPr>
          <w:color w:val="000000" w:themeColor="text1"/>
        </w:rPr>
      </w:pPr>
    </w:p>
    <w:p w14:paraId="44B5D730" w14:textId="77777777" w:rsidR="002874CE" w:rsidRPr="001945CF" w:rsidRDefault="002874CE" w:rsidP="002874CE">
      <w:pPr>
        <w:jc w:val="both"/>
        <w:rPr>
          <w:color w:val="000000" w:themeColor="text1"/>
        </w:rPr>
      </w:pPr>
      <w:r w:rsidRPr="001945CF">
        <w:rPr>
          <w:color w:val="000000" w:themeColor="text1"/>
        </w:rPr>
        <w:t>- How many had a type 1 outcome (“Charge / Summons”)</w:t>
      </w:r>
    </w:p>
    <w:p w14:paraId="0F0D22FC" w14:textId="77777777" w:rsidR="002874CE" w:rsidRPr="001945CF" w:rsidRDefault="002874CE" w:rsidP="002874CE">
      <w:pPr>
        <w:jc w:val="both"/>
        <w:rPr>
          <w:color w:val="000000" w:themeColor="text1"/>
        </w:rPr>
      </w:pPr>
      <w:r w:rsidRPr="001945CF">
        <w:rPr>
          <w:color w:val="000000" w:themeColor="text1"/>
        </w:rPr>
        <w:t>- How many had a type 14 outcome (“Evidential difficulties: suspect not identified; victim does not support further action”)</w:t>
      </w:r>
    </w:p>
    <w:p w14:paraId="0603C929" w14:textId="77777777" w:rsidR="002874CE" w:rsidRPr="001945CF" w:rsidRDefault="002874CE" w:rsidP="002874CE">
      <w:pPr>
        <w:jc w:val="both"/>
        <w:rPr>
          <w:color w:val="000000" w:themeColor="text1"/>
        </w:rPr>
      </w:pPr>
      <w:r w:rsidRPr="001945CF">
        <w:rPr>
          <w:color w:val="000000" w:themeColor="text1"/>
        </w:rPr>
        <w:t>- How many had a type 15 outcome (Evidential difficulties: suspect identified; victim supports action”)</w:t>
      </w:r>
    </w:p>
    <w:p w14:paraId="5A48D26E" w14:textId="77777777" w:rsidR="002874CE" w:rsidRDefault="002874CE" w:rsidP="002874CE">
      <w:pPr>
        <w:jc w:val="both"/>
        <w:rPr>
          <w:color w:val="000000" w:themeColor="text1"/>
        </w:rPr>
      </w:pPr>
      <w:r w:rsidRPr="001945CF">
        <w:rPr>
          <w:color w:val="000000" w:themeColor="text1"/>
        </w:rPr>
        <w:t>- How many had a type 16 outcome (“Evidential difficulties: suspect identified; victim does not support further action”)</w:t>
      </w:r>
    </w:p>
    <w:p w14:paraId="36BDAA11" w14:textId="77777777" w:rsidR="002874CE" w:rsidRDefault="002874CE" w:rsidP="002874CE"/>
    <w:p w14:paraId="25321B6E" w14:textId="77777777" w:rsidR="002874CE" w:rsidRPr="002874CE" w:rsidRDefault="002874CE" w:rsidP="002874CE">
      <w:pPr>
        <w:rPr>
          <w:b/>
          <w:bCs/>
        </w:rPr>
      </w:pPr>
      <w:r w:rsidRPr="002874CE">
        <w:rPr>
          <w:b/>
          <w:bCs/>
        </w:rPr>
        <w:t>Please find below table showing outcomes of the 271 reported offences:</w:t>
      </w:r>
    </w:p>
    <w:p w14:paraId="0E5308DB" w14:textId="77777777" w:rsidR="002874CE" w:rsidRDefault="002874CE" w:rsidP="002874CE"/>
    <w:tbl>
      <w:tblPr>
        <w:tblW w:w="8720" w:type="dxa"/>
        <w:tblLook w:val="04A0" w:firstRow="1" w:lastRow="0" w:firstColumn="1" w:lastColumn="0" w:noHBand="0" w:noVBand="1"/>
      </w:tblPr>
      <w:tblGrid>
        <w:gridCol w:w="6200"/>
        <w:gridCol w:w="2520"/>
      </w:tblGrid>
      <w:tr w:rsidR="002874CE" w:rsidRPr="000D3200" w14:paraId="35533FF9" w14:textId="77777777" w:rsidTr="00D33A0F">
        <w:trPr>
          <w:trHeight w:val="255"/>
        </w:trPr>
        <w:tc>
          <w:tcPr>
            <w:tcW w:w="62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2876E63" w14:textId="77777777" w:rsidR="002874CE" w:rsidRPr="000D3200" w:rsidRDefault="002874CE" w:rsidP="00D33A0F">
            <w:pPr>
              <w:jc w:val="center"/>
              <w:rPr>
                <w:rFonts w:eastAsia="Times New Roman" w:cs="Arial"/>
                <w:b/>
                <w:bCs/>
                <w:sz w:val="20"/>
                <w:szCs w:val="20"/>
                <w:lang w:eastAsia="en-GB"/>
              </w:rPr>
            </w:pPr>
            <w:r w:rsidRPr="000D3200">
              <w:rPr>
                <w:rFonts w:eastAsia="Times New Roman" w:cs="Arial"/>
                <w:b/>
                <w:bCs/>
                <w:sz w:val="20"/>
                <w:szCs w:val="20"/>
                <w:lang w:eastAsia="en-GB"/>
              </w:rPr>
              <w:t>Outcome</w:t>
            </w:r>
          </w:p>
        </w:tc>
        <w:tc>
          <w:tcPr>
            <w:tcW w:w="2520" w:type="dxa"/>
            <w:tcBorders>
              <w:top w:val="single" w:sz="4" w:space="0" w:color="auto"/>
              <w:left w:val="nil"/>
              <w:bottom w:val="single" w:sz="4" w:space="0" w:color="auto"/>
              <w:right w:val="single" w:sz="4" w:space="0" w:color="auto"/>
            </w:tcBorders>
            <w:shd w:val="clear" w:color="000000" w:fill="BFBFBF"/>
            <w:noWrap/>
            <w:vAlign w:val="bottom"/>
            <w:hideMark/>
          </w:tcPr>
          <w:p w14:paraId="40A2819D" w14:textId="77777777" w:rsidR="002874CE" w:rsidRPr="000D3200" w:rsidRDefault="002874CE" w:rsidP="00D33A0F">
            <w:pPr>
              <w:jc w:val="center"/>
              <w:rPr>
                <w:rFonts w:eastAsia="Times New Roman" w:cs="Arial"/>
                <w:b/>
                <w:bCs/>
                <w:sz w:val="20"/>
                <w:szCs w:val="20"/>
                <w:lang w:eastAsia="en-GB"/>
              </w:rPr>
            </w:pPr>
            <w:r w:rsidRPr="000D3200">
              <w:rPr>
                <w:rFonts w:eastAsia="Times New Roman" w:cs="Arial"/>
                <w:b/>
                <w:bCs/>
                <w:sz w:val="20"/>
                <w:szCs w:val="20"/>
                <w:lang w:eastAsia="en-GB"/>
              </w:rPr>
              <w:t>Total number of offences</w:t>
            </w:r>
          </w:p>
        </w:tc>
      </w:tr>
      <w:tr w:rsidR="002874CE" w:rsidRPr="000D3200" w14:paraId="451D36A7"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55CA086D"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 Charged</w:t>
            </w:r>
          </w:p>
        </w:tc>
        <w:tc>
          <w:tcPr>
            <w:tcW w:w="2520" w:type="dxa"/>
            <w:tcBorders>
              <w:top w:val="nil"/>
              <w:left w:val="nil"/>
              <w:bottom w:val="single" w:sz="4" w:space="0" w:color="auto"/>
              <w:right w:val="single" w:sz="4" w:space="0" w:color="auto"/>
            </w:tcBorders>
            <w:shd w:val="clear" w:color="auto" w:fill="auto"/>
            <w:noWrap/>
            <w:vAlign w:val="bottom"/>
            <w:hideMark/>
          </w:tcPr>
          <w:p w14:paraId="42B216B0"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16</w:t>
            </w:r>
          </w:p>
        </w:tc>
      </w:tr>
      <w:tr w:rsidR="002874CE" w:rsidRPr="000D3200" w14:paraId="1EDF1773"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0CC680E8"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 Summonsed/postal requisition</w:t>
            </w:r>
          </w:p>
        </w:tc>
        <w:tc>
          <w:tcPr>
            <w:tcW w:w="2520" w:type="dxa"/>
            <w:tcBorders>
              <w:top w:val="nil"/>
              <w:left w:val="nil"/>
              <w:bottom w:val="single" w:sz="4" w:space="0" w:color="auto"/>
              <w:right w:val="single" w:sz="4" w:space="0" w:color="auto"/>
            </w:tcBorders>
            <w:shd w:val="clear" w:color="auto" w:fill="auto"/>
            <w:noWrap/>
            <w:vAlign w:val="bottom"/>
            <w:hideMark/>
          </w:tcPr>
          <w:p w14:paraId="364C0EC3"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5</w:t>
            </w:r>
          </w:p>
        </w:tc>
      </w:tr>
      <w:tr w:rsidR="002874CE" w:rsidRPr="000D3200" w14:paraId="012AE871"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6F934AA0"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14: Victim declines/unable to support action to identify offender</w:t>
            </w:r>
          </w:p>
        </w:tc>
        <w:tc>
          <w:tcPr>
            <w:tcW w:w="2520" w:type="dxa"/>
            <w:tcBorders>
              <w:top w:val="nil"/>
              <w:left w:val="nil"/>
              <w:bottom w:val="single" w:sz="4" w:space="0" w:color="auto"/>
              <w:right w:val="single" w:sz="4" w:space="0" w:color="auto"/>
            </w:tcBorders>
            <w:shd w:val="clear" w:color="auto" w:fill="auto"/>
            <w:noWrap/>
            <w:vAlign w:val="bottom"/>
            <w:hideMark/>
          </w:tcPr>
          <w:p w14:paraId="00A2D0A5"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12</w:t>
            </w:r>
          </w:p>
        </w:tc>
      </w:tr>
      <w:tr w:rsidR="002874CE" w:rsidRPr="000D3200" w14:paraId="3B723319"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6623E7C1"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15: CPS - named suspect, victim supports but evidential difficulties</w:t>
            </w:r>
          </w:p>
        </w:tc>
        <w:tc>
          <w:tcPr>
            <w:tcW w:w="2520" w:type="dxa"/>
            <w:tcBorders>
              <w:top w:val="nil"/>
              <w:left w:val="nil"/>
              <w:bottom w:val="single" w:sz="4" w:space="0" w:color="auto"/>
              <w:right w:val="single" w:sz="4" w:space="0" w:color="auto"/>
            </w:tcBorders>
            <w:shd w:val="clear" w:color="auto" w:fill="auto"/>
            <w:noWrap/>
            <w:vAlign w:val="bottom"/>
            <w:hideMark/>
          </w:tcPr>
          <w:p w14:paraId="0A7EBF01"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10</w:t>
            </w:r>
          </w:p>
        </w:tc>
      </w:tr>
      <w:tr w:rsidR="002874CE" w:rsidRPr="000D3200" w14:paraId="4B64A970"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271F2697"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15: Police - named suspect, victim supports but evidential difficulties</w:t>
            </w:r>
          </w:p>
        </w:tc>
        <w:tc>
          <w:tcPr>
            <w:tcW w:w="2520" w:type="dxa"/>
            <w:tcBorders>
              <w:top w:val="nil"/>
              <w:left w:val="nil"/>
              <w:bottom w:val="single" w:sz="4" w:space="0" w:color="auto"/>
              <w:right w:val="single" w:sz="4" w:space="0" w:color="auto"/>
            </w:tcBorders>
            <w:shd w:val="clear" w:color="auto" w:fill="auto"/>
            <w:noWrap/>
            <w:vAlign w:val="bottom"/>
            <w:hideMark/>
          </w:tcPr>
          <w:p w14:paraId="711846E5"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52</w:t>
            </w:r>
          </w:p>
        </w:tc>
      </w:tr>
      <w:tr w:rsidR="002874CE" w:rsidRPr="000D3200" w14:paraId="171FE919"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6FC51D67"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16: Victim declines/withdraws support - named suspect identified</w:t>
            </w:r>
          </w:p>
        </w:tc>
        <w:tc>
          <w:tcPr>
            <w:tcW w:w="2520" w:type="dxa"/>
            <w:tcBorders>
              <w:top w:val="nil"/>
              <w:left w:val="nil"/>
              <w:bottom w:val="single" w:sz="4" w:space="0" w:color="auto"/>
              <w:right w:val="single" w:sz="4" w:space="0" w:color="auto"/>
            </w:tcBorders>
            <w:shd w:val="clear" w:color="auto" w:fill="auto"/>
            <w:noWrap/>
            <w:vAlign w:val="bottom"/>
            <w:hideMark/>
          </w:tcPr>
          <w:p w14:paraId="7805F1F3"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101</w:t>
            </w:r>
          </w:p>
        </w:tc>
      </w:tr>
      <w:tr w:rsidR="002874CE" w:rsidRPr="000D3200" w14:paraId="76906BF6"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3E3E1443"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18: Investigation complete no suspect identified</w:t>
            </w:r>
          </w:p>
        </w:tc>
        <w:tc>
          <w:tcPr>
            <w:tcW w:w="2520" w:type="dxa"/>
            <w:tcBorders>
              <w:top w:val="nil"/>
              <w:left w:val="nil"/>
              <w:bottom w:val="single" w:sz="4" w:space="0" w:color="auto"/>
              <w:right w:val="single" w:sz="4" w:space="0" w:color="auto"/>
            </w:tcBorders>
            <w:shd w:val="clear" w:color="auto" w:fill="auto"/>
            <w:noWrap/>
            <w:vAlign w:val="bottom"/>
            <w:hideMark/>
          </w:tcPr>
          <w:p w14:paraId="6E9C204F"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32</w:t>
            </w:r>
          </w:p>
        </w:tc>
      </w:tr>
      <w:tr w:rsidR="002874CE" w:rsidRPr="000D3200" w14:paraId="650C9244"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1D8AA08C"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1A: Alternate offence charged</w:t>
            </w:r>
          </w:p>
        </w:tc>
        <w:tc>
          <w:tcPr>
            <w:tcW w:w="2520" w:type="dxa"/>
            <w:tcBorders>
              <w:top w:val="nil"/>
              <w:left w:val="nil"/>
              <w:bottom w:val="single" w:sz="4" w:space="0" w:color="auto"/>
              <w:right w:val="single" w:sz="4" w:space="0" w:color="auto"/>
            </w:tcBorders>
            <w:shd w:val="clear" w:color="auto" w:fill="auto"/>
            <w:noWrap/>
            <w:vAlign w:val="bottom"/>
            <w:hideMark/>
          </w:tcPr>
          <w:p w14:paraId="6A3DEF27"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w:t>
            </w:r>
          </w:p>
        </w:tc>
      </w:tr>
      <w:tr w:rsidR="002874CE" w:rsidRPr="000D3200" w14:paraId="17BED888"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2E543882"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1A: Alternate offence summonsed/postal requisition</w:t>
            </w:r>
          </w:p>
        </w:tc>
        <w:tc>
          <w:tcPr>
            <w:tcW w:w="2520" w:type="dxa"/>
            <w:tcBorders>
              <w:top w:val="nil"/>
              <w:left w:val="nil"/>
              <w:bottom w:val="single" w:sz="4" w:space="0" w:color="auto"/>
              <w:right w:val="single" w:sz="4" w:space="0" w:color="auto"/>
            </w:tcBorders>
            <w:shd w:val="clear" w:color="auto" w:fill="auto"/>
            <w:noWrap/>
            <w:vAlign w:val="bottom"/>
            <w:hideMark/>
          </w:tcPr>
          <w:p w14:paraId="7008AC17"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w:t>
            </w:r>
          </w:p>
        </w:tc>
      </w:tr>
      <w:tr w:rsidR="002874CE" w:rsidRPr="000D3200" w14:paraId="6FC6EAAB"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0F859BB9"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3: Adult caution</w:t>
            </w:r>
          </w:p>
        </w:tc>
        <w:tc>
          <w:tcPr>
            <w:tcW w:w="2520" w:type="dxa"/>
            <w:tcBorders>
              <w:top w:val="nil"/>
              <w:left w:val="nil"/>
              <w:bottom w:val="single" w:sz="4" w:space="0" w:color="auto"/>
              <w:right w:val="single" w:sz="4" w:space="0" w:color="auto"/>
            </w:tcBorders>
            <w:shd w:val="clear" w:color="auto" w:fill="auto"/>
            <w:noWrap/>
            <w:vAlign w:val="bottom"/>
            <w:hideMark/>
          </w:tcPr>
          <w:p w14:paraId="13B3B22B"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3</w:t>
            </w:r>
          </w:p>
        </w:tc>
      </w:tr>
      <w:tr w:rsidR="002874CE" w:rsidRPr="000D3200" w14:paraId="722ED972"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3D25942A"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6: Penalty notice for disorder</w:t>
            </w:r>
          </w:p>
        </w:tc>
        <w:tc>
          <w:tcPr>
            <w:tcW w:w="2520" w:type="dxa"/>
            <w:tcBorders>
              <w:top w:val="nil"/>
              <w:left w:val="nil"/>
              <w:bottom w:val="single" w:sz="4" w:space="0" w:color="auto"/>
              <w:right w:val="single" w:sz="4" w:space="0" w:color="auto"/>
            </w:tcBorders>
            <w:shd w:val="clear" w:color="auto" w:fill="auto"/>
            <w:noWrap/>
            <w:vAlign w:val="bottom"/>
            <w:hideMark/>
          </w:tcPr>
          <w:p w14:paraId="65B1D46A"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2</w:t>
            </w:r>
          </w:p>
        </w:tc>
      </w:tr>
      <w:tr w:rsidR="002874CE" w:rsidRPr="000D3200" w14:paraId="1D975923"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0A58DCAF"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8: Youth restorative disposal</w:t>
            </w:r>
          </w:p>
        </w:tc>
        <w:tc>
          <w:tcPr>
            <w:tcW w:w="2520" w:type="dxa"/>
            <w:tcBorders>
              <w:top w:val="nil"/>
              <w:left w:val="nil"/>
              <w:bottom w:val="single" w:sz="4" w:space="0" w:color="auto"/>
              <w:right w:val="single" w:sz="4" w:space="0" w:color="auto"/>
            </w:tcBorders>
            <w:shd w:val="clear" w:color="auto" w:fill="auto"/>
            <w:noWrap/>
            <w:vAlign w:val="bottom"/>
            <w:hideMark/>
          </w:tcPr>
          <w:p w14:paraId="0E16D934"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1</w:t>
            </w:r>
          </w:p>
        </w:tc>
      </w:tr>
      <w:tr w:rsidR="002874CE" w:rsidRPr="000D3200" w14:paraId="3FB16C0D"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524364DD"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New / Under Investigation</w:t>
            </w:r>
          </w:p>
        </w:tc>
        <w:tc>
          <w:tcPr>
            <w:tcW w:w="2520" w:type="dxa"/>
            <w:tcBorders>
              <w:top w:val="nil"/>
              <w:left w:val="nil"/>
              <w:bottom w:val="single" w:sz="4" w:space="0" w:color="auto"/>
              <w:right w:val="single" w:sz="4" w:space="0" w:color="auto"/>
            </w:tcBorders>
            <w:shd w:val="clear" w:color="auto" w:fill="auto"/>
            <w:noWrap/>
            <w:vAlign w:val="bottom"/>
            <w:hideMark/>
          </w:tcPr>
          <w:p w14:paraId="7E814142"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35</w:t>
            </w:r>
          </w:p>
        </w:tc>
      </w:tr>
      <w:tr w:rsidR="002874CE" w:rsidRPr="000D3200" w14:paraId="2EB0C236" w14:textId="77777777" w:rsidTr="00D33A0F">
        <w:trPr>
          <w:trHeight w:val="255"/>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148AF7EE"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Grand Total</w:t>
            </w:r>
          </w:p>
        </w:tc>
        <w:tc>
          <w:tcPr>
            <w:tcW w:w="2520" w:type="dxa"/>
            <w:tcBorders>
              <w:top w:val="nil"/>
              <w:left w:val="nil"/>
              <w:bottom w:val="single" w:sz="4" w:space="0" w:color="auto"/>
              <w:right w:val="single" w:sz="4" w:space="0" w:color="auto"/>
            </w:tcBorders>
            <w:shd w:val="clear" w:color="auto" w:fill="auto"/>
            <w:noWrap/>
            <w:vAlign w:val="bottom"/>
            <w:hideMark/>
          </w:tcPr>
          <w:p w14:paraId="32562AB2" w14:textId="77777777" w:rsidR="002874CE" w:rsidRPr="000D3200" w:rsidRDefault="002874CE" w:rsidP="00D33A0F">
            <w:pPr>
              <w:jc w:val="center"/>
              <w:rPr>
                <w:rFonts w:eastAsia="Times New Roman" w:cs="Arial"/>
                <w:sz w:val="20"/>
                <w:szCs w:val="20"/>
                <w:lang w:eastAsia="en-GB"/>
              </w:rPr>
            </w:pPr>
            <w:r w:rsidRPr="000D3200">
              <w:rPr>
                <w:rFonts w:eastAsia="Times New Roman" w:cs="Arial"/>
                <w:sz w:val="20"/>
                <w:szCs w:val="20"/>
                <w:lang w:eastAsia="en-GB"/>
              </w:rPr>
              <w:t>271</w:t>
            </w:r>
          </w:p>
        </w:tc>
      </w:tr>
    </w:tbl>
    <w:p w14:paraId="4E175966" w14:textId="77E3ECCC" w:rsidR="002874CE" w:rsidRDefault="002874CE" w:rsidP="002874CE">
      <w:pPr>
        <w:pBdr>
          <w:bottom w:val="dotted" w:sz="24" w:space="1" w:color="auto"/>
        </w:pBdr>
      </w:pPr>
    </w:p>
    <w:p w14:paraId="7E003E59" w14:textId="6A64E06E" w:rsidR="002874CE" w:rsidRDefault="002874CE" w:rsidP="002874CE">
      <w:pPr>
        <w:pBdr>
          <w:bottom w:val="dotted" w:sz="24" w:space="1" w:color="auto"/>
        </w:pBdr>
      </w:pPr>
    </w:p>
    <w:p w14:paraId="3B02BECB" w14:textId="77777777" w:rsidR="002874CE" w:rsidRDefault="002874CE" w:rsidP="002874CE">
      <w:pPr>
        <w:pBdr>
          <w:bottom w:val="dotted" w:sz="24" w:space="1" w:color="auto"/>
        </w:pBdr>
      </w:pPr>
    </w:p>
    <w:p w14:paraId="18546422" w14:textId="77777777" w:rsidR="008D19BE" w:rsidRPr="008D19BE" w:rsidRDefault="008D19BE" w:rsidP="00437C62">
      <w:pPr>
        <w:rPr>
          <w:color w:val="000000" w:themeColor="text1"/>
        </w:rPr>
      </w:pPr>
    </w:p>
    <w:p w14:paraId="085E2623" w14:textId="2B970E98" w:rsidR="00A75893" w:rsidRDefault="00A75893" w:rsidP="009D05E0">
      <w:pP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6D33" w14:textId="77777777" w:rsidR="00536B06" w:rsidRDefault="0053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86F7" w14:textId="77777777" w:rsidR="00536B06" w:rsidRDefault="00536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4DBE" w14:textId="77777777" w:rsidR="00536B06" w:rsidRDefault="00536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23FD" w14:textId="77777777" w:rsidR="00536B06" w:rsidRDefault="00536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1945CF"/>
    <w:rsid w:val="002534D0"/>
    <w:rsid w:val="0026412A"/>
    <w:rsid w:val="002874CE"/>
    <w:rsid w:val="002A0491"/>
    <w:rsid w:val="002F467F"/>
    <w:rsid w:val="003D048B"/>
    <w:rsid w:val="003F5698"/>
    <w:rsid w:val="00434A7E"/>
    <w:rsid w:val="00437C62"/>
    <w:rsid w:val="00471710"/>
    <w:rsid w:val="00487A82"/>
    <w:rsid w:val="00536B06"/>
    <w:rsid w:val="005C3D07"/>
    <w:rsid w:val="00666793"/>
    <w:rsid w:val="007E49B2"/>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35</cp:revision>
  <dcterms:created xsi:type="dcterms:W3CDTF">2020-09-10T12:36:00Z</dcterms:created>
  <dcterms:modified xsi:type="dcterms:W3CDTF">2022-02-28T10:22:00Z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