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009ADB76"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E92DA2">
        <w:rPr>
          <w:b/>
          <w:bCs/>
          <w:color w:val="000000" w:themeColor="text1"/>
        </w:rPr>
        <w:t>25399</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4D621A1B" w14:textId="77777777" w:rsidR="00E92DA2" w:rsidRDefault="00E92DA2" w:rsidP="00E92DA2">
      <w:pPr>
        <w:jc w:val="both"/>
      </w:pPr>
    </w:p>
    <w:p w14:paraId="47904A4F" w14:textId="77777777" w:rsidR="00E92DA2" w:rsidRDefault="00E92DA2" w:rsidP="00E92DA2">
      <w:pPr>
        <w:spacing w:after="160"/>
        <w:jc w:val="both"/>
        <w:rPr>
          <w:rFonts w:ascii="Calibri" w:hAnsi="Calibri"/>
          <w:color w:val="000000"/>
        </w:rPr>
      </w:pPr>
      <w:r>
        <w:rPr>
          <w:color w:val="000000"/>
        </w:rPr>
        <w:t>In relation to the years - April 2020-March 2021 and April 2021- March 2022. I require the following information,  </w:t>
      </w:r>
    </w:p>
    <w:p w14:paraId="057FA400" w14:textId="77777777" w:rsidR="00E92DA2" w:rsidRDefault="00E92DA2" w:rsidP="00E92DA2">
      <w:pPr>
        <w:spacing w:after="160"/>
        <w:jc w:val="both"/>
        <w:rPr>
          <w:color w:val="000000"/>
        </w:rPr>
      </w:pPr>
      <w:r>
        <w:rPr>
          <w:color w:val="000000"/>
        </w:rPr>
        <w:t>The number of ill treatment or wilful neglect offences recorded by Gwent Police involving victims in age categories 65-74 and 75+ </w:t>
      </w:r>
    </w:p>
    <w:p w14:paraId="0CC34BAD" w14:textId="77777777" w:rsidR="00E92DA2" w:rsidRDefault="00E92DA2" w:rsidP="00E92DA2">
      <w:pPr>
        <w:spacing w:after="160"/>
        <w:jc w:val="both"/>
        <w:rPr>
          <w:color w:val="000000"/>
        </w:rPr>
      </w:pPr>
      <w:r>
        <w:rPr>
          <w:color w:val="000000"/>
        </w:rPr>
        <w:t>A breakdown of the gender of the victims identified above. </w:t>
      </w:r>
    </w:p>
    <w:p w14:paraId="3B3ADDC0" w14:textId="77777777" w:rsidR="00E92DA2" w:rsidRDefault="00E92DA2" w:rsidP="00E92DA2">
      <w:pPr>
        <w:spacing w:after="160"/>
        <w:jc w:val="both"/>
        <w:rPr>
          <w:color w:val="000000"/>
        </w:rPr>
      </w:pPr>
      <w:r>
        <w:rPr>
          <w:color w:val="000000"/>
        </w:rPr>
        <w:t>A breakdown of the relationship of victim to principal suspect for each victim identified above.  </w:t>
      </w:r>
    </w:p>
    <w:p w14:paraId="2A95A64D" w14:textId="37A106FD" w:rsidR="008D19BE" w:rsidRDefault="00E92DA2" w:rsidP="008C1C91">
      <w:pPr>
        <w:spacing w:after="160"/>
        <w:jc w:val="both"/>
        <w:rPr>
          <w:color w:val="000000"/>
        </w:rPr>
      </w:pPr>
      <w:r>
        <w:rPr>
          <w:color w:val="000000"/>
        </w:rPr>
        <w:t>If it is not possible to provide the information requested due to the information exceeding the cost of compliance limits identified in Section 12, please provide advice and assistance, under the Section 16 obligations of the Act, as to how I can refine my request</w:t>
      </w:r>
      <w:r w:rsidR="008C1C91">
        <w:rPr>
          <w:color w:val="000000"/>
        </w:rPr>
        <w:t>.</w:t>
      </w:r>
    </w:p>
    <w:p w14:paraId="09DF6FF9" w14:textId="0F8A775D" w:rsidR="008D19BE" w:rsidRDefault="008D19BE" w:rsidP="008D19BE">
      <w:pPr>
        <w:rPr>
          <w:color w:val="000000" w:themeColor="text1"/>
        </w:rPr>
      </w:pPr>
    </w:p>
    <w:p w14:paraId="4E11E395" w14:textId="77777777" w:rsidR="008C1C91" w:rsidRPr="008D19BE" w:rsidRDefault="008C1C91"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18546422" w14:textId="77777777" w:rsidR="008D19BE" w:rsidRPr="008D19BE" w:rsidRDefault="008D19BE" w:rsidP="00437C62">
      <w:pPr>
        <w:rPr>
          <w:color w:val="000000" w:themeColor="text1"/>
        </w:rPr>
      </w:pPr>
    </w:p>
    <w:p w14:paraId="2CC76E23" w14:textId="77777777" w:rsidR="00AC66AD" w:rsidRPr="00AC66AD" w:rsidRDefault="00AC66AD" w:rsidP="00AC66AD">
      <w:pPr>
        <w:pBdr>
          <w:bottom w:val="dotted" w:sz="24" w:space="1" w:color="auto"/>
        </w:pBdr>
        <w:jc w:val="both"/>
      </w:pPr>
      <w:r w:rsidRPr="00AC66AD">
        <w:t xml:space="preserve">The tables below provide data on the number of recorded ‘Ill treatment or neglect of a person lacking capacity by anyone responsible for that persons care’ offence, and where a victim was attached to the crime, any victims unknown or not included won’t be included in the total. All recorded offences shown in the tables include victims aged 65 and over. </w:t>
      </w:r>
    </w:p>
    <w:p w14:paraId="79D8FF7D" w14:textId="77777777" w:rsidR="00AC66AD" w:rsidRPr="00AC66AD" w:rsidRDefault="00AC66AD" w:rsidP="00AC66AD">
      <w:pPr>
        <w:pBdr>
          <w:bottom w:val="dotted" w:sz="24" w:space="1" w:color="auto"/>
        </w:pBdr>
        <w:jc w:val="both"/>
      </w:pPr>
    </w:p>
    <w:p w14:paraId="14CE6941" w14:textId="77777777" w:rsidR="00AC66AD" w:rsidRPr="00AC66AD" w:rsidRDefault="00AC66AD" w:rsidP="00AC66AD">
      <w:pPr>
        <w:pBdr>
          <w:bottom w:val="dotted" w:sz="24" w:space="1" w:color="auto"/>
        </w:pBdr>
        <w:jc w:val="both"/>
      </w:pPr>
      <w:r w:rsidRPr="00AC66AD">
        <w:t xml:space="preserve">The first table is broken down by financial year and victim’s gender as requested. Please note that the total number at the bottom of the table is the number of crimes </w:t>
      </w:r>
      <w:r w:rsidRPr="00AC66AD">
        <w:lastRenderedPageBreak/>
        <w:t>recorded with a victim attached. The second table is broken down by financial year and the relationship between the offender and the victim.</w:t>
      </w:r>
    </w:p>
    <w:p w14:paraId="4DA8AC6B" w14:textId="77777777" w:rsidR="00AC66AD" w:rsidRPr="00AC66AD" w:rsidRDefault="00AC66AD" w:rsidP="00AC66AD">
      <w:pPr>
        <w:pBdr>
          <w:bottom w:val="dotted" w:sz="24" w:space="1" w:color="auto"/>
        </w:pBdr>
        <w:jc w:val="both"/>
      </w:pPr>
    </w:p>
    <w:p w14:paraId="4CE01524" w14:textId="77777777" w:rsidR="00AC66AD" w:rsidRDefault="00AC66AD" w:rsidP="00AC66AD">
      <w:pPr>
        <w:pBdr>
          <w:bottom w:val="dotted" w:sz="24" w:space="1" w:color="auto"/>
        </w:pBdr>
        <w:jc w:val="both"/>
      </w:pPr>
      <w:r w:rsidRPr="00AC66AD">
        <w:rPr>
          <w:noProof/>
        </w:rPr>
        <w:drawing>
          <wp:inline distT="0" distB="0" distL="0" distR="0" wp14:anchorId="1460D16D" wp14:editId="5D239E29">
            <wp:extent cx="2674620" cy="845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845820"/>
                    </a:xfrm>
                    <a:prstGeom prst="rect">
                      <a:avLst/>
                    </a:prstGeom>
                    <a:noFill/>
                    <a:ln>
                      <a:noFill/>
                    </a:ln>
                  </pic:spPr>
                </pic:pic>
              </a:graphicData>
            </a:graphic>
          </wp:inline>
        </w:drawing>
      </w:r>
    </w:p>
    <w:p w14:paraId="1EFFAED1" w14:textId="77777777" w:rsidR="00AC66AD" w:rsidRDefault="00AC66AD" w:rsidP="00AC66AD">
      <w:pPr>
        <w:pBdr>
          <w:bottom w:val="dotted" w:sz="24" w:space="1" w:color="auto"/>
        </w:pBdr>
        <w:jc w:val="both"/>
      </w:pPr>
    </w:p>
    <w:p w14:paraId="0FF09F7F" w14:textId="4747CBF2" w:rsidR="002C4CAC" w:rsidRDefault="00AC66AD" w:rsidP="00AC66AD">
      <w:pPr>
        <w:pBdr>
          <w:bottom w:val="dotted" w:sz="24" w:space="1" w:color="auto"/>
        </w:pBdr>
        <w:jc w:val="both"/>
        <w:rPr>
          <w:color w:val="000000" w:themeColor="text1"/>
        </w:rPr>
      </w:pPr>
      <w:r w:rsidRPr="00AC66AD">
        <w:rPr>
          <w:noProof/>
        </w:rPr>
        <w:drawing>
          <wp:inline distT="0" distB="0" distL="0" distR="0" wp14:anchorId="614EF2DA" wp14:editId="13A64B95">
            <wp:extent cx="2758440" cy="8458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440" cy="845820"/>
                    </a:xfrm>
                    <a:prstGeom prst="rect">
                      <a:avLst/>
                    </a:prstGeom>
                    <a:noFill/>
                    <a:ln>
                      <a:noFill/>
                    </a:ln>
                  </pic:spPr>
                </pic:pic>
              </a:graphicData>
            </a:graphic>
          </wp:inline>
        </w:drawing>
      </w:r>
    </w:p>
    <w:p w14:paraId="2867E67F" w14:textId="77777777" w:rsidR="00AC66AD" w:rsidRDefault="00AC66AD" w:rsidP="00AC66AD">
      <w:pPr>
        <w:pBdr>
          <w:bottom w:val="dotted" w:sz="24" w:space="1" w:color="auto"/>
        </w:pBdr>
        <w:jc w:val="both"/>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37399" w14:textId="77777777" w:rsidR="008C1C91" w:rsidRDefault="008C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D035" w14:textId="77777777" w:rsidR="008C1C91" w:rsidRDefault="008C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7E4B8" w14:textId="77777777" w:rsidR="008C1C91" w:rsidRDefault="008C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877C1" w14:textId="77777777" w:rsidR="008C1C91" w:rsidRDefault="008C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250C2"/>
    <w:rsid w:val="003D048B"/>
    <w:rsid w:val="003F5698"/>
    <w:rsid w:val="00434A7E"/>
    <w:rsid w:val="00437C62"/>
    <w:rsid w:val="004406C8"/>
    <w:rsid w:val="00471710"/>
    <w:rsid w:val="00487A82"/>
    <w:rsid w:val="005663D6"/>
    <w:rsid w:val="005C3D07"/>
    <w:rsid w:val="00666793"/>
    <w:rsid w:val="007E49B2"/>
    <w:rsid w:val="007F256C"/>
    <w:rsid w:val="008C1C91"/>
    <w:rsid w:val="008D19BE"/>
    <w:rsid w:val="00913742"/>
    <w:rsid w:val="00934B75"/>
    <w:rsid w:val="00980C46"/>
    <w:rsid w:val="009C77DB"/>
    <w:rsid w:val="009D05E0"/>
    <w:rsid w:val="009D7142"/>
    <w:rsid w:val="00A41FF6"/>
    <w:rsid w:val="00A43529"/>
    <w:rsid w:val="00A75893"/>
    <w:rsid w:val="00AC66AD"/>
    <w:rsid w:val="00AD1D5C"/>
    <w:rsid w:val="00AF40E8"/>
    <w:rsid w:val="00B21CFB"/>
    <w:rsid w:val="00B33506"/>
    <w:rsid w:val="00B446B3"/>
    <w:rsid w:val="00B84E3F"/>
    <w:rsid w:val="00C05024"/>
    <w:rsid w:val="00CA031E"/>
    <w:rsid w:val="00CA252B"/>
    <w:rsid w:val="00CC53C8"/>
    <w:rsid w:val="00CE7806"/>
    <w:rsid w:val="00D37813"/>
    <w:rsid w:val="00D5309E"/>
    <w:rsid w:val="00D73277"/>
    <w:rsid w:val="00E92DA2"/>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827748">
      <w:bodyDiv w:val="1"/>
      <w:marLeft w:val="0"/>
      <w:marRight w:val="0"/>
      <w:marTop w:val="0"/>
      <w:marBottom w:val="0"/>
      <w:divBdr>
        <w:top w:val="none" w:sz="0" w:space="0" w:color="auto"/>
        <w:left w:val="none" w:sz="0" w:space="0" w:color="auto"/>
        <w:bottom w:val="none" w:sz="0" w:space="0" w:color="auto"/>
        <w:right w:val="none" w:sz="0" w:space="0" w:color="auto"/>
      </w:divBdr>
    </w:div>
    <w:div w:id="545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39</cp:revision>
  <dcterms:created xsi:type="dcterms:W3CDTF">2020-09-10T12:36:00Z</dcterms:created>
  <dcterms:modified xsi:type="dcterms:W3CDTF">2022-08-24T10:23:00Z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