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A16550B"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BC77FA">
        <w:rPr>
          <w:b/>
          <w:bCs/>
          <w:color w:val="000000" w:themeColor="text1"/>
        </w:rPr>
        <w:t>25719</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36F3D7E0" w14:textId="0A72B523" w:rsidR="00BC77FA" w:rsidRDefault="00BC77FA" w:rsidP="00BC77FA">
      <w:pPr>
        <w:rPr>
          <w:color w:val="000000" w:themeColor="text1"/>
        </w:rPr>
      </w:pPr>
      <w:r w:rsidRPr="00BC77FA">
        <w:rPr>
          <w:color w:val="000000" w:themeColor="text1"/>
        </w:rPr>
        <w:t>Please can you provide me electronically by email and broken down annually by calendar year from and including 2012 to the latest data available to date (12th December 2022): </w:t>
      </w:r>
    </w:p>
    <w:p w14:paraId="6D9BA4CD" w14:textId="77777777" w:rsidR="00BC77FA" w:rsidRPr="00BC77FA" w:rsidRDefault="00BC77FA" w:rsidP="00BC77FA">
      <w:pPr>
        <w:rPr>
          <w:color w:val="000000" w:themeColor="text1"/>
        </w:rPr>
      </w:pPr>
    </w:p>
    <w:p w14:paraId="43AD84B7" w14:textId="77777777" w:rsidR="00BC77FA" w:rsidRPr="00BC77FA" w:rsidRDefault="00BC77FA" w:rsidP="00BC77FA">
      <w:pPr>
        <w:numPr>
          <w:ilvl w:val="0"/>
          <w:numId w:val="16"/>
        </w:numPr>
        <w:rPr>
          <w:color w:val="000000" w:themeColor="text1"/>
        </w:rPr>
      </w:pPr>
      <w:r w:rsidRPr="00BC77FA">
        <w:rPr>
          <w:color w:val="000000" w:themeColor="text1"/>
        </w:rPr>
        <w:t xml:space="preserve">Of the total recorded homicides each year, the number of victims killed by an </w:t>
      </w:r>
      <w:proofErr w:type="gramStart"/>
      <w:r w:rsidRPr="00BC77FA">
        <w:rPr>
          <w:color w:val="000000" w:themeColor="text1"/>
        </w:rPr>
        <w:t>offender/offenders</w:t>
      </w:r>
      <w:proofErr w:type="gramEnd"/>
      <w:r w:rsidRPr="00BC77FA">
        <w:rPr>
          <w:color w:val="000000" w:themeColor="text1"/>
        </w:rPr>
        <w:t xml:space="preserve"> the victim had previously reported to your police force for an offence in the sub group of “stalking and harassment” in the count offence classification code. This includes:</w:t>
      </w:r>
    </w:p>
    <w:p w14:paraId="72C9403C" w14:textId="77777777" w:rsidR="00BC77FA" w:rsidRPr="00BC77FA" w:rsidRDefault="00BC77FA" w:rsidP="00BC77FA">
      <w:pPr>
        <w:numPr>
          <w:ilvl w:val="1"/>
          <w:numId w:val="16"/>
        </w:numPr>
        <w:rPr>
          <w:color w:val="000000" w:themeColor="text1"/>
        </w:rPr>
      </w:pPr>
      <w:r w:rsidRPr="00BC77FA">
        <w:rPr>
          <w:color w:val="000000" w:themeColor="text1"/>
        </w:rPr>
        <w:t>Stalking – classification code 8Q</w:t>
      </w:r>
    </w:p>
    <w:p w14:paraId="2DB2433F" w14:textId="77777777" w:rsidR="00BC77FA" w:rsidRPr="00BC77FA" w:rsidRDefault="00BC77FA" w:rsidP="00BC77FA">
      <w:pPr>
        <w:numPr>
          <w:ilvl w:val="1"/>
          <w:numId w:val="16"/>
        </w:numPr>
        <w:rPr>
          <w:color w:val="000000" w:themeColor="text1"/>
        </w:rPr>
      </w:pPr>
      <w:r w:rsidRPr="00BC77FA">
        <w:rPr>
          <w:color w:val="000000" w:themeColor="text1"/>
        </w:rPr>
        <w:t>Malicious Communications – classification code 8R</w:t>
      </w:r>
    </w:p>
    <w:p w14:paraId="2ACA8EB2" w14:textId="77777777" w:rsidR="00BC77FA" w:rsidRPr="00BC77FA" w:rsidRDefault="00BC77FA" w:rsidP="00BC77FA">
      <w:pPr>
        <w:numPr>
          <w:ilvl w:val="1"/>
          <w:numId w:val="16"/>
        </w:numPr>
        <w:rPr>
          <w:color w:val="000000" w:themeColor="text1"/>
        </w:rPr>
      </w:pPr>
      <w:r w:rsidRPr="00BC77FA">
        <w:rPr>
          <w:color w:val="000000" w:themeColor="text1"/>
        </w:rPr>
        <w:t>Harassment – classification code 8L </w:t>
      </w:r>
    </w:p>
    <w:p w14:paraId="37D10F17" w14:textId="77777777" w:rsidR="00BC77FA" w:rsidRPr="00BC77FA" w:rsidRDefault="00BC77FA" w:rsidP="00BC77FA">
      <w:pPr>
        <w:numPr>
          <w:ilvl w:val="1"/>
          <w:numId w:val="16"/>
        </w:numPr>
        <w:rPr>
          <w:color w:val="000000" w:themeColor="text1"/>
        </w:rPr>
      </w:pPr>
      <w:r w:rsidRPr="00BC77FA">
        <w:rPr>
          <w:color w:val="000000" w:themeColor="text1"/>
        </w:rPr>
        <w:t>Racially or religiously aggravated harassment – classification code 8M </w:t>
      </w:r>
    </w:p>
    <w:p w14:paraId="6A3CC9AF" w14:textId="77777777" w:rsidR="00BC77FA" w:rsidRPr="00BC77FA" w:rsidRDefault="00BC77FA" w:rsidP="00BC77FA">
      <w:pPr>
        <w:numPr>
          <w:ilvl w:val="1"/>
          <w:numId w:val="16"/>
        </w:numPr>
        <w:rPr>
          <w:color w:val="000000" w:themeColor="text1"/>
        </w:rPr>
      </w:pPr>
      <w:r w:rsidRPr="00BC77FA">
        <w:rPr>
          <w:color w:val="000000" w:themeColor="text1"/>
        </w:rPr>
        <w:t>Controlling or coercive behaviour – classification code 8U</w:t>
      </w:r>
    </w:p>
    <w:p w14:paraId="321C804C" w14:textId="77777777" w:rsidR="00BC77FA" w:rsidRDefault="00BC77FA" w:rsidP="00BC77FA">
      <w:pPr>
        <w:rPr>
          <w:color w:val="000000" w:themeColor="text1"/>
        </w:rPr>
      </w:pPr>
    </w:p>
    <w:p w14:paraId="391220BB" w14:textId="0A2E6D1C" w:rsidR="00BC77FA" w:rsidRPr="00BC77FA" w:rsidRDefault="00BC77FA" w:rsidP="00BC77FA">
      <w:pPr>
        <w:rPr>
          <w:color w:val="000000" w:themeColor="text1"/>
        </w:rPr>
      </w:pPr>
      <w:r w:rsidRPr="00BC77FA">
        <w:rPr>
          <w:color w:val="000000" w:themeColor="text1"/>
        </w:rPr>
        <w:t>If it is not possible to provide the information requested due to the information exceeding the time or cost limits identified in Section 12, please provide the information in part and chronologically with a priority placed upon 2021 data</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5B2378C9" w14:textId="4B25EFB7" w:rsidR="00BC77FA" w:rsidRPr="00BC77FA" w:rsidRDefault="00BC77FA" w:rsidP="00BC77FA">
      <w:pPr>
        <w:rPr>
          <w:b/>
          <w:bCs/>
          <w:color w:val="000000" w:themeColor="text1"/>
        </w:rPr>
      </w:pPr>
      <w:r w:rsidRPr="00BC77FA">
        <w:rPr>
          <w:b/>
          <w:bCs/>
          <w:color w:val="000000" w:themeColor="text1"/>
        </w:rPr>
        <w:t>Please not</w:t>
      </w:r>
      <w:r w:rsidRPr="00BC77FA">
        <w:rPr>
          <w:b/>
          <w:bCs/>
          <w:color w:val="000000" w:themeColor="text1"/>
        </w:rPr>
        <w:t>e</w:t>
      </w:r>
      <w:r w:rsidRPr="00BC77FA">
        <w:rPr>
          <w:b/>
          <w:bCs/>
          <w:color w:val="000000" w:themeColor="text1"/>
        </w:rPr>
        <w:t xml:space="preserve"> that the software only provides data from 2017, therefore the data we have provided is based on recorded year 2017 to 12th of December 2022.</w:t>
      </w:r>
    </w:p>
    <w:p w14:paraId="7ADDA815" w14:textId="77777777" w:rsidR="00BC77FA" w:rsidRPr="00BC77FA" w:rsidRDefault="00BC77FA" w:rsidP="00BC77FA">
      <w:pPr>
        <w:rPr>
          <w:b/>
          <w:bCs/>
          <w:color w:val="000000" w:themeColor="text1"/>
        </w:rPr>
      </w:pPr>
    </w:p>
    <w:p w14:paraId="18546422" w14:textId="24863181" w:rsidR="008D19BE" w:rsidRPr="00BC77FA" w:rsidRDefault="00BC77FA" w:rsidP="00BC77FA">
      <w:pPr>
        <w:rPr>
          <w:b/>
          <w:bCs/>
          <w:color w:val="000000" w:themeColor="text1"/>
        </w:rPr>
      </w:pPr>
      <w:r w:rsidRPr="00BC77FA">
        <w:rPr>
          <w:b/>
          <w:bCs/>
          <w:color w:val="000000" w:themeColor="text1"/>
        </w:rPr>
        <w:t xml:space="preserve">To provide this data we have pulled homicide data as well as stalking and harassment offences based on the codes above. Between 2017 and 12th of December 2022 there was a total of 34 recorded homicide offences, however </w:t>
      </w:r>
      <w:r w:rsidRPr="00BC77FA">
        <w:rPr>
          <w:b/>
          <w:bCs/>
          <w:color w:val="000000" w:themeColor="text1"/>
        </w:rPr>
        <w:lastRenderedPageBreak/>
        <w:t>none of which the victim was linked to any previous stalking and harassment offences.</w:t>
      </w: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A85051"/>
    <w:multiLevelType w:val="hybridMultilevel"/>
    <w:tmpl w:val="0FDA6A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BC77FA"/>
    <w:rsid w:val="00C05024"/>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41</cp:revision>
  <dcterms:created xsi:type="dcterms:W3CDTF">2020-09-10T12:36:00Z</dcterms:created>
  <dcterms:modified xsi:type="dcterms:W3CDTF">2022-12-23T15:24:00Z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